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b/>
          <w:color w:val="5A5A5A"/>
          <w:sz w:val="18"/>
        </w:rPr>
        <w:t>QUALITÄTSMANAGEMENT</w:t>
      </w:r>
    </w:p>
    <w:p>
      <w:pPr>
        <w:pStyle w:val="Title"/>
        <w:rPr/>
      </w:pPr>
      <w:r>
        <w:rPr>
          <w:b/>
        </w:rPr>
        <w:t>Verfahrensanweisung (VA): Wundversorgung</w:t>
      </w:r>
    </w:p>
    <w:p>
      <w:pPr>
        <w:pStyle w:val="Normal"/>
        <w:spacing w:before="0" w:after="280"/>
        <w:rPr/>
      </w:pPr>
      <w:r>
        <w:rPr>
          <w:i/>
          <w:color w:val="464646"/>
          <w:sz w:val="20"/>
        </w:rPr>
        <w:t>QM-Vorlage · Anamnese · Wundbeurteilung · Therapieplanung</w:t>
      </w:r>
    </w:p>
    <w:tbl>
      <w:tblPr>
        <w:tblW w:w="9632"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2408"/>
        <w:gridCol w:w="2408"/>
        <w:gridCol w:w="2408"/>
        <w:gridCol w:w="2408"/>
      </w:tblGrid>
      <w:tr>
        <w:trPr/>
        <w:tc>
          <w:tcPr>
            <w:tcW w:w="2408" w:type="dxa"/>
            <w:tcBorders/>
            <w:shd w:fill="FAFAFA" w:val="clear"/>
            <w:vAlign w:val="center"/>
          </w:tcPr>
          <w:p>
            <w:pPr>
              <w:pStyle w:val="Normal"/>
              <w:widowControl/>
              <w:bidi w:val="0"/>
              <w:spacing w:lineRule="auto" w:line="276" w:before="0" w:after="200"/>
              <w:jc w:val="start"/>
              <w:rPr/>
            </w:pPr>
            <w:r>
              <w:rPr>
                <w:b/>
                <w:sz w:val="17"/>
              </w:rPr>
              <w:t>Dokument-Nr.</w:t>
            </w:r>
          </w:p>
        </w:tc>
        <w:tc>
          <w:tcPr>
            <w:tcW w:w="2408" w:type="dxa"/>
            <w:tcBorders/>
            <w:shd w:fill="FAFAFA" w:val="clear"/>
            <w:vAlign w:val="center"/>
          </w:tcPr>
          <w:p>
            <w:pPr>
              <w:pStyle w:val="Normal"/>
              <w:widowControl/>
              <w:bidi w:val="0"/>
              <w:spacing w:lineRule="auto" w:line="276" w:before="0" w:after="200"/>
              <w:jc w:val="start"/>
              <w:rPr/>
            </w:pPr>
            <w:r>
              <w:rPr>
                <w:b/>
                <w:sz w:val="17"/>
              </w:rPr>
              <w:t>Version</w:t>
            </w:r>
          </w:p>
        </w:tc>
        <w:tc>
          <w:tcPr>
            <w:tcW w:w="2408" w:type="dxa"/>
            <w:tcBorders/>
            <w:shd w:fill="FAFAFA" w:val="clear"/>
            <w:vAlign w:val="center"/>
          </w:tcPr>
          <w:p>
            <w:pPr>
              <w:pStyle w:val="Normal"/>
              <w:widowControl/>
              <w:bidi w:val="0"/>
              <w:spacing w:lineRule="auto" w:line="276" w:before="0" w:after="200"/>
              <w:jc w:val="start"/>
              <w:rPr/>
            </w:pPr>
            <w:r>
              <w:rPr>
                <w:b/>
                <w:sz w:val="17"/>
              </w:rPr>
              <w:t>Erstellt / geprüft</w:t>
            </w:r>
          </w:p>
        </w:tc>
        <w:tc>
          <w:tcPr>
            <w:tcW w:w="2408" w:type="dxa"/>
            <w:tcBorders/>
            <w:shd w:fill="FAFAFA" w:val="clear"/>
            <w:vAlign w:val="center"/>
          </w:tcPr>
          <w:p>
            <w:pPr>
              <w:pStyle w:val="Normal"/>
              <w:widowControl/>
              <w:bidi w:val="0"/>
              <w:spacing w:lineRule="auto" w:line="276" w:before="0" w:after="200"/>
              <w:jc w:val="start"/>
              <w:rPr/>
            </w:pPr>
            <w:r>
              <w:rPr>
                <w:b/>
                <w:sz w:val="17"/>
              </w:rPr>
              <w:t>Freigabe</w:t>
            </w:r>
          </w:p>
        </w:tc>
      </w:tr>
      <w:tr>
        <w:trPr/>
        <w:tc>
          <w:tcPr>
            <w:tcW w:w="2408" w:type="dxa"/>
            <w:tcBorders/>
            <w:shd w:fill="FAFAFA" w:val="clear"/>
          </w:tcPr>
          <w:p>
            <w:pPr>
              <w:pStyle w:val="Normal"/>
              <w:widowControl/>
              <w:bidi w:val="0"/>
              <w:spacing w:lineRule="auto" w:line="276" w:before="0" w:after="200"/>
              <w:jc w:val="start"/>
              <w:rPr/>
            </w:pPr>
            <w:r>
              <w:rPr>
                <w:sz w:val="18"/>
              </w:rPr>
              <w:t>QM-WP-001</w:t>
            </w:r>
          </w:p>
        </w:tc>
        <w:tc>
          <w:tcPr>
            <w:tcW w:w="2408" w:type="dxa"/>
            <w:tcBorders/>
            <w:shd w:fill="FAFAFA" w:val="clear"/>
          </w:tcPr>
          <w:p>
            <w:pPr>
              <w:pStyle w:val="Normal"/>
              <w:widowControl/>
              <w:bidi w:val="0"/>
              <w:spacing w:lineRule="auto" w:line="276" w:before="0" w:after="200"/>
              <w:jc w:val="start"/>
              <w:rPr/>
            </w:pPr>
            <w:r>
              <w:rPr>
                <w:sz w:val="18"/>
              </w:rPr>
              <w:t>1.0</w:t>
            </w:r>
          </w:p>
        </w:tc>
        <w:tc>
          <w:tcPr>
            <w:tcW w:w="2408" w:type="dxa"/>
            <w:tcBorders/>
            <w:shd w:fill="FAFAFA" w:val="clear"/>
          </w:tcPr>
          <w:p>
            <w:pPr>
              <w:pStyle w:val="Normal"/>
              <w:widowControl/>
              <w:bidi w:val="0"/>
              <w:spacing w:lineRule="auto" w:line="276" w:before="0" w:after="200"/>
              <w:jc w:val="start"/>
              <w:rPr/>
            </w:pPr>
            <w:r>
              <w:rPr>
                <w:sz w:val="18"/>
              </w:rPr>
              <w:t>____________</w:t>
            </w:r>
          </w:p>
        </w:tc>
        <w:tc>
          <w:tcPr>
            <w:tcW w:w="2408" w:type="dxa"/>
            <w:tcBorders/>
            <w:shd w:fill="FAFAFA" w:val="clear"/>
          </w:tcPr>
          <w:p>
            <w:pPr>
              <w:pStyle w:val="Normal"/>
              <w:widowControl/>
              <w:bidi w:val="0"/>
              <w:spacing w:lineRule="auto" w:line="276" w:before="0" w:after="200"/>
              <w:jc w:val="start"/>
              <w:rPr/>
            </w:pPr>
            <w:r>
              <w:rPr>
                <w:sz w:val="18"/>
              </w:rPr>
              <w:t>____________</w:t>
            </w:r>
          </w:p>
        </w:tc>
      </w:tr>
    </w:tbl>
    <w:p>
      <w:pPr>
        <w:pStyle w:val="Normal"/>
        <w:rPr/>
      </w:pPr>
      <w:r>
        <w:rPr/>
      </w:r>
    </w:p>
    <w:tbl>
      <w:tblPr>
        <w:tblW w:w="9360" w:type="dxa"/>
        <w:jc w:val="center"/>
        <w:tblInd w:w="0" w:type="dxa"/>
        <w:tblLayout w:type="fixed"/>
        <w:tblCellMar>
          <w:top w:w="100" w:type="dxa"/>
          <w:start w:w="150" w:type="dxa"/>
          <w:bottom w:w="100" w:type="dxa"/>
          <w:end w:w="150" w:type="dxa"/>
        </w:tblCellMar>
        <w:tblLook w:val="04a0" w:firstRow="1" w:noVBand="1" w:lastRow="0" w:firstColumn="1" w:lastColumn="0" w:noHBand="0"/>
      </w:tblPr>
      <w:tblGrid>
        <w:gridCol w:w="3168"/>
        <w:gridCol w:w="6192"/>
      </w:tblGrid>
      <w:tr>
        <w:trPr/>
        <w:tc>
          <w:tcPr>
            <w:tcW w:w="3168" w:type="dxa"/>
            <w:tcBorders>
              <w:top w:val="single" w:sz="4" w:space="0" w:color="CCCCCC"/>
              <w:start w:val="single" w:sz="4" w:space="0" w:color="CCCCCC"/>
              <w:bottom w:val="single" w:sz="4" w:space="0" w:color="CCCCCC"/>
              <w:end w:val="single" w:sz="4" w:space="0" w:color="CCCCCC"/>
            </w:tcBorders>
            <w:shd w:fill="F2F5F8" w:val="clear"/>
          </w:tcPr>
          <w:p>
            <w:pPr>
              <w:pStyle w:val="Normal"/>
              <w:spacing w:before="0" w:after="200"/>
              <w:rPr/>
            </w:pPr>
            <w:r>
              <w:rPr>
                <w:b/>
              </w:rPr>
              <w:t>Zielsetzung:</w:t>
            </w:r>
          </w:p>
        </w:tc>
        <w:tc>
          <w:tcPr>
            <w:tcW w:w="6192" w:type="dxa"/>
            <w:tcBorders>
              <w:top w:val="single" w:sz="4" w:space="0" w:color="CCCCCC"/>
              <w:start w:val="single" w:sz="4" w:space="0" w:color="CCCCCC"/>
              <w:bottom w:val="single" w:sz="4" w:space="0" w:color="CCCCCC"/>
              <w:end w:val="single" w:sz="4" w:space="0" w:color="CCCCCC"/>
            </w:tcBorders>
          </w:tcPr>
          <w:p>
            <w:pPr>
              <w:pStyle w:val="Normal"/>
              <w:spacing w:before="0" w:after="200"/>
              <w:rPr/>
            </w:pPr>
            <w:r>
              <w:rPr/>
              <w:t>Gewährleistung einer evidenzbasierten, personenzentrierten Wundversorgung zur Förderung der Wundheilung, Schmerzreduktion, Steigerung der Lebensqualität und wirksamen Rezidivprophylaxe.</w:t>
            </w:r>
          </w:p>
        </w:tc>
      </w:tr>
    </w:tbl>
    <w:p>
      <w:pPr>
        <w:pStyle w:val="Normal"/>
        <w:spacing w:before="0" w:after="200"/>
        <w:rPr/>
      </w:pPr>
      <w:r>
        <w:rPr/>
      </w:r>
    </w:p>
    <w:p>
      <w:pPr>
        <w:pStyle w:val="Normal"/>
        <w:keepNext w:val="true"/>
        <w:spacing w:before="280" w:after="120"/>
        <w:rPr/>
      </w:pPr>
      <w:r>
        <w:rPr>
          <w:b/>
          <w:color w:val="003366"/>
          <w:sz w:val="26"/>
        </w:rPr>
        <w:t>1. Strukturkriterien &amp; Qualifikationsvorgaben</w:t>
      </w:r>
    </w:p>
    <w:p>
      <w:pPr>
        <w:pStyle w:val="ListBullet"/>
        <w:numPr>
          <w:ilvl w:val="0"/>
          <w:numId w:val="1"/>
        </w:numPr>
        <w:rPr/>
      </w:pPr>
      <w:r>
        <w:rPr>
          <w:b/>
        </w:rPr>
        <w:t xml:space="preserve">Ärztliche Kausaldiagnose: </w:t>
      </w:r>
      <w:r>
        <w:rPr/>
        <w:t>Keine pflegerische Wundversorgung darf ohne eine gesicherte, dokumentierte ärztliche Diagnose der Ursache durchgeführt werden.</w:t>
      </w:r>
    </w:p>
    <w:p>
      <w:pPr>
        <w:pStyle w:val="ListBullet"/>
        <w:numPr>
          <w:ilvl w:val="0"/>
          <w:numId w:val="1"/>
        </w:numPr>
        <w:rPr/>
      </w:pPr>
      <w:r>
        <w:rPr>
          <w:b/>
        </w:rPr>
        <w:t xml:space="preserve">Fachexpertise-Pflicht: </w:t>
      </w:r>
      <w:r>
        <w:rPr/>
        <w:t>Gemäß den Vorgaben der HKP-Richtlinie (§ 132a SGB V) stellt die Einrichtung sicher, dass die fachliche Steuerung und Beratung durch Pflegefachkräfte mit einer anerkannten Zusatzqualifikation (z. B. zertifizierte/r Wundmanager/in) erfolgt.</w:t>
      </w:r>
    </w:p>
    <w:p>
      <w:pPr>
        <w:pStyle w:val="ListBullet"/>
        <w:numPr>
          <w:ilvl w:val="0"/>
          <w:numId w:val="1"/>
        </w:numPr>
        <w:rPr/>
      </w:pPr>
      <w:r>
        <w:rPr>
          <w:b/>
        </w:rPr>
        <w:t xml:space="preserve">Materialverfügbarkeit: </w:t>
      </w:r>
      <w:r>
        <w:rPr/>
        <w:t>Es stehen ausschließlich moderne, phasengerechte und hydroaktive Wundversorgungsprodukte zur Verfügung. Veraltete, trockene Verbandstoffe (z. B. reine Mullkompressen auf offenem Wundgrund).</w:t>
      </w:r>
    </w:p>
    <w:p>
      <w:pPr>
        <w:pStyle w:val="Normal"/>
        <w:keepNext w:val="true"/>
        <w:spacing w:before="280" w:after="120"/>
        <w:rPr/>
      </w:pPr>
      <w:r>
        <w:rPr>
          <w:b/>
          <w:color w:val="003366"/>
          <w:sz w:val="26"/>
        </w:rPr>
        <w:t xml:space="preserve">2. Prozessablauf </w:t>
      </w:r>
    </w:p>
    <w:p>
      <w:pPr>
        <w:pStyle w:val="Normal"/>
        <w:keepNext w:val="true"/>
        <w:spacing w:before="280" w:after="120"/>
        <w:rPr/>
      </w:pPr>
      <w:r>
        <w:rPr>
          <w:b/>
          <w:color w:val="666666"/>
          <w:sz w:val="23"/>
        </w:rPr>
        <w:t>Ebene I: Ganzheitliches Assessment &amp; Ersteinschätzung</w:t>
      </w:r>
    </w:p>
    <w:p>
      <w:pPr>
        <w:pStyle w:val="ListBullet"/>
        <w:numPr>
          <w:ilvl w:val="0"/>
          <w:numId w:val="1"/>
        </w:numPr>
        <w:rPr/>
      </w:pPr>
      <w:r>
        <w:rPr>
          <w:b/>
        </w:rPr>
        <w:t xml:space="preserve">Umfassende Risiko- und Symptomerfassung: </w:t>
      </w:r>
      <w:r>
        <w:rPr/>
        <w:t>Bei jedem Bewohner mit einer bestehenden Wunde oder einem erhöhten Wundrisiko wird unverzüglich eine strukturierte pflegerische Ersteinschätzung eingeleitet. Diese beinhaltet:</w:t>
      </w:r>
    </w:p>
    <w:p>
      <w:pPr>
        <w:pStyle w:val="ListBullet2"/>
        <w:numPr>
          <w:ilvl w:val="0"/>
          <w:numId w:val="2"/>
        </w:numPr>
        <w:rPr/>
      </w:pPr>
      <w:r>
        <w:rPr/>
        <w:t>Wundspezifische Parameter: Exakte Lokalisation, Wundgröße (Länge x Breite), Wundtiefe, Zustand des Wundgrundes (Nekrose, Fibrin, Granulation, Epithelisierung), Exsudationsmenge und -beschaffenheit, Geruch sowie lokale Infektionszeichen.</w:t>
      </w:r>
    </w:p>
    <w:p>
      <w:pPr>
        <w:pStyle w:val="ListBullet2"/>
        <w:numPr>
          <w:ilvl w:val="0"/>
          <w:numId w:val="2"/>
        </w:numPr>
        <w:rPr/>
      </w:pPr>
      <w:r>
        <w:rPr/>
        <w:t>Einschränkungen: Wund- und therapiebedingte Schmerzen (Erfassung über VAS/NRS-Skala), Einschränkungen der Mobilität und Beeinträchtigungen bei der Alltagsgestaltung.</w:t>
      </w:r>
    </w:p>
    <w:p>
      <w:pPr>
        <w:pStyle w:val="ListBullet2"/>
        <w:numPr>
          <w:ilvl w:val="0"/>
          <w:numId w:val="2"/>
        </w:numPr>
        <w:rPr/>
      </w:pPr>
      <w:r>
        <w:rPr/>
        <w:t>Psychosoziale Faktoren: Individuelles Krankheitsverständnis des Bewohners, psychosoziale Belastungen und messbare Auswirkungen auf die subjektive Lebensqualität.</w:t>
      </w:r>
    </w:p>
    <w:p>
      <w:pPr>
        <w:pStyle w:val="ListBullet"/>
        <w:numPr>
          <w:ilvl w:val="0"/>
          <w:numId w:val="1"/>
        </w:numPr>
        <w:rPr/>
      </w:pPr>
      <w:r>
        <w:rPr>
          <w:b/>
        </w:rPr>
        <w:t xml:space="preserve">Überprüfungsturnus: </w:t>
      </w:r>
      <w:r>
        <w:rPr/>
        <w:t>Das strukturierte Wundassessment ist standardisiert mindestens einmal wöchentlich, zwingend bei jedem Verbandswechsel sowie sofort bei akuten lokalen oder systemischen Veränderungen (z. B. Fieber, Geruchsentwicklung) zu wiederholen.</w:t>
      </w:r>
    </w:p>
    <w:p>
      <w:pPr>
        <w:pStyle w:val="Normal"/>
        <w:keepNext w:val="true"/>
        <w:spacing w:before="280" w:after="120"/>
        <w:rPr/>
      </w:pPr>
      <w:r>
        <w:rPr>
          <w:b/>
          <w:color w:val="666666"/>
          <w:sz w:val="23"/>
        </w:rPr>
        <w:t>Ebene II: Gemeinsame Maßnahmenplanung</w:t>
      </w:r>
    </w:p>
    <w:p>
      <w:pPr>
        <w:pStyle w:val="ListBullet"/>
        <w:numPr>
          <w:ilvl w:val="0"/>
          <w:numId w:val="1"/>
        </w:numPr>
        <w:rPr/>
      </w:pPr>
      <w:r>
        <w:rPr>
          <w:b/>
        </w:rPr>
        <w:t xml:space="preserve">Zielvereinbarung: </w:t>
      </w:r>
      <w:r>
        <w:rPr/>
        <w:t>Die Pflegeplanung und Festlegung der realistischen Wundziele (z. B. Schmerzreduktion, Exsudatmanagement, vollständiger Wundverschluss) erfolgen unter aktiver Einbeziehung des Bewohners und ggf. seiner gesetzlichen Vertreter oder Angehörigen.</w:t>
      </w:r>
    </w:p>
    <w:p>
      <w:pPr>
        <w:pStyle w:val="ListBullet"/>
        <w:numPr>
          <w:ilvl w:val="0"/>
          <w:numId w:val="1"/>
        </w:numPr>
        <w:rPr/>
      </w:pPr>
      <w:r>
        <w:rPr>
          <w:b/>
        </w:rPr>
        <w:t xml:space="preserve">Kernelemente des Maßnahmenplans: </w:t>
      </w:r>
      <w:r>
        <w:rPr/>
        <w:t>Der Plan muss zwingend folgende zeitnahe Interventionen abbilden:</w:t>
      </w:r>
    </w:p>
    <w:p>
      <w:pPr>
        <w:pStyle w:val="ListBullet2"/>
        <w:numPr>
          <w:ilvl w:val="0"/>
          <w:numId w:val="2"/>
        </w:numPr>
        <w:rPr/>
      </w:pPr>
      <w:r>
        <w:rPr/>
        <w:t>Kausaltherapie: Konsequente Druckentlastung (Antidekubitus-Systeme, Umlagerungsintervalle) oder fachgerechte Kompressionstherapie bei venöser Insuffizienz.</w:t>
      </w:r>
    </w:p>
    <w:p>
      <w:pPr>
        <w:pStyle w:val="ListBullet2"/>
        <w:numPr>
          <w:ilvl w:val="0"/>
          <w:numId w:val="2"/>
        </w:numPr>
        <w:rPr/>
      </w:pPr>
      <w:r>
        <w:rPr/>
        <w:t>Symptomkontrolle: Systematisches Schmerzmanagement vor und während des Verbandswechsels nach ärztlichem Schema; bedarfsgerechtes Geruchs- und Exsudatmanagement.</w:t>
      </w:r>
    </w:p>
    <w:p>
      <w:pPr>
        <w:pStyle w:val="ListBullet2"/>
        <w:numPr>
          <w:ilvl w:val="0"/>
          <w:numId w:val="2"/>
        </w:numPr>
        <w:rPr/>
      </w:pPr>
      <w:r>
        <w:rPr/>
        <w:t>Begleittherapie: Professioneller Hautschutz der Wundumgebung sowie eine bedarfsgerechte Flüssigkeits- und Ernährungssituation zur aktiven Unterstützung der Geweberegeneration.</w:t>
      </w:r>
    </w:p>
    <w:p>
      <w:pPr>
        <w:pStyle w:val="Normal"/>
        <w:keepNext w:val="true"/>
        <w:spacing w:before="280" w:after="120"/>
        <w:rPr/>
      </w:pPr>
      <w:r>
        <w:rPr>
          <w:b/>
          <w:color w:val="666666"/>
          <w:sz w:val="23"/>
        </w:rPr>
        <w:t>Ebene III: Information, Schulung &amp; Beratung</w:t>
      </w:r>
    </w:p>
    <w:p>
      <w:pPr>
        <w:pStyle w:val="ListBullet"/>
        <w:numPr>
          <w:ilvl w:val="0"/>
          <w:numId w:val="1"/>
        </w:numPr>
        <w:rPr/>
      </w:pPr>
      <w:r>
        <w:rPr>
          <w:b/>
        </w:rPr>
        <w:t xml:space="preserve">Selbstmanagement-Förderung: </w:t>
      </w:r>
      <w:r>
        <w:rPr/>
        <w:t>Das Pflegepersonal führt gezielte, verständliche Beratungsgespräche mit dem Bewohner durch, um die Selbstpflegekompetenz und Adhärenz nachhaltig zu stärken.</w:t>
      </w:r>
    </w:p>
    <w:p>
      <w:pPr>
        <w:pStyle w:val="ListBullet"/>
        <w:numPr>
          <w:ilvl w:val="0"/>
          <w:numId w:val="1"/>
        </w:numPr>
        <w:rPr/>
      </w:pPr>
      <w:r>
        <w:rPr>
          <w:b/>
        </w:rPr>
        <w:t xml:space="preserve">Schulungsschwerpunkte: </w:t>
      </w:r>
      <w:r>
        <w:rPr/>
        <w:t>Aufklärung über die Krankheitsursachen, die Wirkungsweise der Maßnahmen, effektive Rezidivprophylaxe (z. B. hautschonende Pflege, eigenständige Bewegungsübungen) sowie das eigenständige Erkennen und Melden von klinischen Warnsignalen (z. B. zunehmender Schmerz, Rötung).</w:t>
      </w:r>
    </w:p>
    <w:p>
      <w:pPr>
        <w:pStyle w:val="Normal"/>
        <w:keepNext w:val="true"/>
        <w:spacing w:before="280" w:after="120"/>
        <w:rPr/>
      </w:pPr>
      <w:r>
        <w:rPr>
          <w:b/>
          <w:color w:val="666666"/>
          <w:sz w:val="23"/>
        </w:rPr>
        <w:t>Ebene IV: Koordination &amp; Durchführung des Verbandswechsels</w:t>
      </w:r>
    </w:p>
    <w:p>
      <w:pPr>
        <w:pStyle w:val="ListBullet"/>
        <w:numPr>
          <w:ilvl w:val="0"/>
          <w:numId w:val="1"/>
        </w:numPr>
        <w:rPr/>
      </w:pPr>
      <w:r>
        <w:rPr>
          <w:b/>
        </w:rPr>
        <w:t xml:space="preserve">Hygienische Vorbereitung: </w:t>
      </w:r>
      <w:r>
        <w:rPr/>
        <w:t>Wischdesinfektion der Arbeitsfläche, strikte hygienische Händedesinfektion vor dem Vorbereiten der Materialien. Bereitstellung aller sterilen Instrumente und phasengerechten Verbandmittel. Konsequentes Arbeiten nach der Non-Touch-Technik.</w:t>
      </w:r>
    </w:p>
    <w:p>
      <w:pPr>
        <w:pStyle w:val="ListBullet"/>
        <w:numPr>
          <w:ilvl w:val="0"/>
          <w:numId w:val="1"/>
        </w:numPr>
        <w:rPr>
          <w:lang w:val="de-DE" w:eastAsia="en-US" w:bidi="ar-SA"/>
        </w:rPr>
      </w:pPr>
      <w:r>
        <w:rPr>
          <w:b/>
          <w:lang w:val="de-DE" w:eastAsia="en-US" w:bidi="ar-SA"/>
        </w:rPr>
        <w:t xml:space="preserve">Wundreinigung &amp; Debridement: </w:t>
      </w:r>
      <w:r>
        <w:rPr>
          <w:lang w:val="de-DE" w:eastAsia="en-US" w:bidi="ar-SA"/>
        </w:rPr>
        <w:t xml:space="preserve">Spülung der Wunde mit sterilen oder keimfreien Wundspüllösungen (z. B. Polyhexanid- oder </w:t>
      </w:r>
      <w:r>
        <w:rPr>
          <w:lang w:val="de-DE" w:eastAsia="en-US" w:bidi="ar-SA"/>
        </w:rPr>
        <w:t>Hypochlorig-b</w:t>
      </w:r>
      <w:r>
        <w:rPr>
          <w:lang w:val="de-DE" w:eastAsia="en-US" w:bidi="ar-SA"/>
        </w:rPr>
        <w:t>asiert bei Infektionsverdacht). Eine Verwendung von Leitungswasser ohne zugelassenen endständigen Sterilfilter ist strengstens untersagt.</w:t>
      </w:r>
    </w:p>
    <w:p>
      <w:pPr>
        <w:pStyle w:val="ListBullet"/>
        <w:numPr>
          <w:ilvl w:val="0"/>
          <w:numId w:val="1"/>
        </w:numPr>
        <w:rPr/>
      </w:pPr>
      <w:r>
        <w:rPr>
          <w:b/>
        </w:rPr>
        <w:t xml:space="preserve">Wundauflage: </w:t>
      </w:r>
      <w:r>
        <w:rPr/>
        <w:t>Applikation der Produkte exakt gemäß aktueller ärztlicher Anordnung und Wundphase (z. B. Alginate oder Hydrofasern bei starker Exsudation, Hydrogele bei trockenem Belag, Schaumverbände zum Schutz). Fixierung erfolgt hautschonend und allergenarm.</w:t>
      </w:r>
    </w:p>
    <w:p>
      <w:pPr>
        <w:pStyle w:val="ListBullet"/>
        <w:numPr>
          <w:ilvl w:val="0"/>
          <w:numId w:val="1"/>
        </w:numPr>
        <w:rPr/>
      </w:pPr>
      <w:r>
        <w:rPr>
          <w:b/>
        </w:rPr>
        <w:t xml:space="preserve">Interprofessionelle Koordination: </w:t>
      </w:r>
      <w:r>
        <w:rPr/>
        <w:t>Die lückenlose fallbezogene Abstimmung mit den behandelnden Haus-/Fachärzten, Podologen, externen Wundzentren und Orthopädietechnikern wird durch die koordinierende Pflegefachkraft sichergestellt und dokumentiert.</w:t>
      </w:r>
    </w:p>
    <w:p>
      <w:pPr>
        <w:pStyle w:val="Normal"/>
        <w:keepNext w:val="true"/>
        <w:spacing w:before="280" w:after="120"/>
        <w:rPr/>
      </w:pPr>
      <w:r>
        <w:rPr>
          <w:b/>
          <w:color w:val="666666"/>
          <w:sz w:val="23"/>
        </w:rPr>
        <w:t>Ebene V: Evaluation &amp; Ergebniskontrolle</w:t>
      </w:r>
    </w:p>
    <w:p>
      <w:pPr>
        <w:pStyle w:val="ListBullet"/>
        <w:numPr>
          <w:ilvl w:val="0"/>
          <w:numId w:val="1"/>
        </w:numPr>
        <w:rPr/>
      </w:pPr>
      <w:r>
        <w:rPr>
          <w:b/>
        </w:rPr>
        <w:t xml:space="preserve">Kontinuierliche Evaluation: </w:t>
      </w:r>
      <w:r>
        <w:rPr/>
        <w:t>Die Entwicklung der Wunde wird fortlaufend überwacht. Mindestens einmal im Monat (oder bei deutlicher Verschlechterung) erfolgt eine kritische Überprüfung, ob die vereinbarten Wundziele erreicht wurden oder die Pflegeplanung angepasst werden muss.</w:t>
      </w:r>
    </w:p>
    <w:p>
      <w:pPr>
        <w:pStyle w:val="ListBullet"/>
        <w:numPr>
          <w:ilvl w:val="0"/>
          <w:numId w:val="1"/>
        </w:numPr>
        <w:rPr/>
      </w:pPr>
      <w:r>
        <w:rPr>
          <w:b/>
        </w:rPr>
        <w:t xml:space="preserve">Stagnations-Regel (4-Wochen-Frist): </w:t>
      </w:r>
      <w:r>
        <w:rPr/>
        <w:t xml:space="preserve">Zeigt eine chronische Wunde trotz fachgerechter und therapiekonformer Versorgung über einen Zeitraum von </w:t>
      </w:r>
      <w:r>
        <w:rPr>
          <w:b/>
        </w:rPr>
        <w:t xml:space="preserve">4 Wochen keine Tendenz zur Besserung bzw. keine Reduktion der Wundfläche um mindestens </w:t>
      </w:r>
      <w:r>
        <w:rPr>
          <w:b/>
        </w:rPr>
        <w:t>40</w:t>
      </w:r>
      <w:r>
        <w:rPr>
          <w:b/>
        </w:rPr>
        <w:t xml:space="preserve"> %</w:t>
      </w:r>
      <w:r>
        <w:rPr/>
        <w:t>, sollte</w:t>
      </w:r>
      <w:r>
        <w:rPr/>
        <w:t>n</w:t>
      </w:r>
      <w:r>
        <w:rPr/>
        <w:t xml:space="preserve"> die Verbandsstoffe angepasst werden, und/oder genauere Ursachenforschung durchgeführt werden. </w:t>
      </w:r>
    </w:p>
    <w:p>
      <w:pPr>
        <w:pStyle w:val="Normal"/>
        <w:keepNext w:val="true"/>
        <w:spacing w:before="280" w:after="120"/>
        <w:rPr/>
      </w:pPr>
      <w:r>
        <w:rPr>
          <w:b/>
          <w:color w:val="003366"/>
          <w:sz w:val="26"/>
        </w:rPr>
        <w:t>3. Dokumentationspflichten</w:t>
      </w:r>
    </w:p>
    <w:p>
      <w:pPr>
        <w:pStyle w:val="Normal"/>
        <w:rPr/>
      </w:pPr>
      <w:r>
        <w:rPr/>
        <w:t>Jeder einzelne Verbandswechsel sowie das wöchentliche Wundassessment müssen ohne Ausnahme lückenlos, zeitnah und rechtssicher in der digitalen Pflegeakte dokumentiert werden. Die Dokumentation umfasst zwingend:</w:t>
      </w:r>
    </w:p>
    <w:p>
      <w:pPr>
        <w:pStyle w:val="ListBullet"/>
        <w:numPr>
          <w:ilvl w:val="0"/>
          <w:numId w:val="1"/>
        </w:numPr>
        <w:rPr/>
      </w:pPr>
      <w:r>
        <w:rPr/>
        <w:t>Die vollständige, objektive Wundbeschreibung nach den Kriterien der Ebene I.</w:t>
      </w:r>
    </w:p>
    <w:p>
      <w:pPr>
        <w:pStyle w:val="ListBullet"/>
        <w:numPr>
          <w:ilvl w:val="0"/>
          <w:numId w:val="1"/>
        </w:numPr>
        <w:rPr/>
      </w:pPr>
      <w:r>
        <w:rPr/>
        <w:t>Alle durchgeführten Maßnahmen (Reinigungsmethode, exakte Produktbezeichnung und Chargennummern der verwendeten Verbandmittel).</w:t>
      </w:r>
    </w:p>
    <w:p>
      <w:pPr>
        <w:pStyle w:val="ListBullet"/>
        <w:numPr>
          <w:ilvl w:val="0"/>
          <w:numId w:val="1"/>
        </w:numPr>
        <w:rPr/>
      </w:pPr>
      <w:r>
        <w:rPr/>
        <w:t>Die Beurteilung der Wundumgebung (Mazeration, Rötung, Entzündung).</w:t>
      </w:r>
    </w:p>
    <w:p>
      <w:pPr>
        <w:pStyle w:val="ListBullet"/>
        <w:numPr>
          <w:ilvl w:val="0"/>
          <w:numId w:val="1"/>
        </w:numPr>
        <w:rPr/>
      </w:pPr>
      <w:r>
        <w:rPr/>
        <w:t>Das subjektive Schmerzempfinden des Bewohners während des gesamten Vorgangs.</w:t>
      </w:r>
    </w:p>
    <w:p>
      <w:pPr>
        <w:pStyle w:val="ListBullet"/>
        <w:numPr>
          <w:ilvl w:val="0"/>
          <w:numId w:val="1"/>
        </w:numPr>
        <w:rPr/>
      </w:pPr>
      <w:r>
        <w:rPr/>
        <w:t xml:space="preserve">Regelmäßige, standardisierte Wundfotografie (nur mit schriftlicher Einwilligung des Patienten/Bevollmächtigten) zur visuellen Verlaufskontrolle Fotodokumentation sollte einmal Wöchentlich und bei Verschlechterung erfolgen. </w:t>
      </w:r>
    </w:p>
    <w:p>
      <w:pPr>
        <w:pStyle w:val="Normal"/>
        <w:rPr/>
      </w:pPr>
      <w:r>
        <w:rPr/>
      </w:r>
    </w:p>
    <w:p>
      <w:pPr>
        <w:pStyle w:val="Normal"/>
        <w:spacing w:before="400" w:after="200"/>
        <w:rPr>
          <w:i/>
          <w:color w:val="666666"/>
          <w:sz w:val="16"/>
        </w:rPr>
      </w:pPr>
      <w:r>
        <w:rPr>
          <w:i/>
          <w:color w:val="666666"/>
          <w:sz w:val="16"/>
        </w:rPr>
      </w:r>
    </w:p>
    <w:tbl>
      <w:tblPr>
        <w:tblW w:w="9633"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211"/>
        <w:gridCol w:w="3211"/>
        <w:gridCol w:w="3211"/>
      </w:tblGrid>
      <w:tr>
        <w:trPr/>
        <w:tc>
          <w:tcPr>
            <w:tcW w:w="3211" w:type="dxa"/>
            <w:tcBorders/>
            <w:shd w:fill="FAFAFA" w:val="clear"/>
          </w:tcPr>
          <w:p>
            <w:pPr>
              <w:pStyle w:val="Normal"/>
              <w:widowControl/>
              <w:bidi w:val="0"/>
              <w:spacing w:lineRule="auto" w:line="276" w:before="0" w:after="200"/>
              <w:jc w:val="start"/>
              <w:rPr/>
            </w:pPr>
            <w:r>
              <w:rPr>
                <w:b/>
                <w:sz w:val="17"/>
              </w:rPr>
              <w:t>Erstellt / bearbeitet</w:t>
            </w:r>
          </w:p>
        </w:tc>
        <w:tc>
          <w:tcPr>
            <w:tcW w:w="3211" w:type="dxa"/>
            <w:tcBorders/>
            <w:shd w:fill="FAFAFA" w:val="clear"/>
          </w:tcPr>
          <w:p>
            <w:pPr>
              <w:pStyle w:val="Normal"/>
              <w:widowControl/>
              <w:bidi w:val="0"/>
              <w:spacing w:lineRule="auto" w:line="276" w:before="0" w:after="200"/>
              <w:jc w:val="start"/>
              <w:rPr/>
            </w:pPr>
            <w:r>
              <w:rPr>
                <w:b/>
                <w:sz w:val="17"/>
              </w:rPr>
              <w:t>Geprüft</w:t>
            </w:r>
          </w:p>
        </w:tc>
        <w:tc>
          <w:tcPr>
            <w:tcW w:w="3211" w:type="dxa"/>
            <w:tcBorders/>
            <w:shd w:fill="FAFAFA" w:val="clear"/>
          </w:tcPr>
          <w:p>
            <w:pPr>
              <w:pStyle w:val="Normal"/>
              <w:widowControl/>
              <w:bidi w:val="0"/>
              <w:spacing w:lineRule="auto" w:line="276" w:before="0" w:after="200"/>
              <w:jc w:val="start"/>
              <w:rPr/>
            </w:pPr>
            <w:r>
              <w:rPr>
                <w:b/>
                <w:sz w:val="17"/>
              </w:rPr>
              <w:t>Freigegeben</w:t>
            </w:r>
          </w:p>
        </w:tc>
      </w:tr>
      <w:tr>
        <w:trPr/>
        <w:tc>
          <w:tcPr>
            <w:tcW w:w="3211" w:type="dxa"/>
            <w:tcBorders/>
            <w:shd w:fill="FAFAFA" w:val="clear"/>
          </w:tcPr>
          <w:p>
            <w:pPr>
              <w:pStyle w:val="Normal"/>
              <w:widowControl/>
              <w:bidi w:val="0"/>
              <w:spacing w:lineRule="auto" w:line="276" w:before="0" w:after="200"/>
              <w:jc w:val="start"/>
              <w:rPr/>
            </w:pPr>
            <w:r>
              <w:rPr>
                <w:sz w:val="16"/>
              </w:rPr>
              <w:br/>
              <w:t>________________________</w:t>
              <w:br/>
              <w:t>Datum / Unterschrift</w:t>
            </w:r>
          </w:p>
        </w:tc>
        <w:tc>
          <w:tcPr>
            <w:tcW w:w="3211" w:type="dxa"/>
            <w:tcBorders/>
            <w:shd w:fill="FAFAFA" w:val="clear"/>
          </w:tcPr>
          <w:p>
            <w:pPr>
              <w:pStyle w:val="Normal"/>
              <w:widowControl/>
              <w:bidi w:val="0"/>
              <w:spacing w:lineRule="auto" w:line="276" w:before="0" w:after="200"/>
              <w:jc w:val="start"/>
              <w:rPr/>
            </w:pPr>
            <w:r>
              <w:rPr>
                <w:sz w:val="16"/>
              </w:rPr>
              <w:br/>
              <w:t>________________________</w:t>
              <w:br/>
              <w:t>Datum / Unterschrift</w:t>
            </w:r>
          </w:p>
        </w:tc>
        <w:tc>
          <w:tcPr>
            <w:tcW w:w="3211" w:type="dxa"/>
            <w:tcBorders/>
            <w:shd w:fill="FAFAFA" w:val="clear"/>
          </w:tcPr>
          <w:p>
            <w:pPr>
              <w:pStyle w:val="Normal"/>
              <w:widowControl/>
              <w:bidi w:val="0"/>
              <w:spacing w:lineRule="auto" w:line="276" w:before="0" w:after="200"/>
              <w:jc w:val="start"/>
              <w:rPr/>
            </w:pPr>
            <w:r>
              <w:rPr>
                <w:sz w:val="16"/>
              </w:rPr>
              <w:br/>
              <w:t>________________________</w:t>
              <w:br/>
              <w:t>Datum / Unterschrift</w:t>
            </w:r>
          </w:p>
        </w:tc>
      </w:tr>
    </w:tbl>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304" w:right="1304" w:gutter="0" w:header="720" w:top="1247"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Aptos">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color w:val="505050"/>
        <w:sz w:val="16"/>
      </w:rPr>
      <w:t xml:space="preserve">Copyright © Wundpfleger Peter  |  QM-Dokument  |  Version: ____  |  Stand: ____  |  Seite </w:t>
    </w:r>
    <w:r>
      <w:rPr/>
      <w:fldChar w:fldCharType="begin"/>
    </w:r>
    <w:r>
      <w:rPr/>
      <w:instrText xml:space="preserve"> PAGE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color w:val="505050"/>
        <w:sz w:val="16"/>
      </w:rPr>
      <w:t xml:space="preserve">Copyright © Wundpfleger Peter  |  QM-Dokument  |  Version: ____  |  Stand: ____  |  Seite </w:t>
    </w:r>
    <w:r>
      <w:rPr/>
      <w:fldChar w:fldCharType="begin"/>
    </w:r>
    <w:r>
      <w:rPr/>
      <w:instrText xml:space="preserve"> PAGE </w:instrText>
    </w:r>
    <w:r>
      <w:rPr/>
      <w:fldChar w:fldCharType="separate"/>
    </w:r>
    <w:r>
      <w:rPr/>
      <w:t>3</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5" w:color="C9CDCD"/>
      </w:pBdr>
      <w:jc w:val="start"/>
      <w:rPr/>
    </w:pPr>
    <w:r>
      <w:rPr>
        <w:b/>
        <w:color w:val="000000"/>
        <w:sz w:val="22"/>
      </w:rPr>
      <w:t>WUNDPFLEGER PETER</w:t>
    </w:r>
    <w:r>
      <w:rPr>
        <w:sz w:val="18"/>
      </w:rPr>
      <w:t xml:space="preserve">   |   QM-Dokument</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5" w:color="C9CDCD"/>
      </w:pBdr>
      <w:jc w:val="start"/>
      <w:rPr/>
    </w:pPr>
    <w:r>
      <w:rPr>
        <w:b/>
        <w:color w:val="000000"/>
        <w:sz w:val="22"/>
      </w:rPr>
      <w:t>WUNDPFLEGER PETER</w:t>
    </w:r>
    <w:r>
      <w:rPr>
        <w:sz w:val="18"/>
      </w:rPr>
      <w:t xml:space="preserve">   |   QM-Dokument</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200"/>
      <w:jc w:val="start"/>
    </w:pPr>
    <w:rPr>
      <w:rFonts w:ascii="Aptos" w:hAnsi="Aptos" w:eastAsia="ＭＳ 明朝" w:cs=""/>
      <w:color w:val="000000"/>
      <w:kern w:val="0"/>
      <w:sz w:val="21"/>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val="000000"/>
      <w:sz w:val="30"/>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val="000000"/>
      <w:sz w:val="24"/>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val="000000"/>
      <w:sz w:val="22"/>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Verzeichnis">
    <w:name w:val="Verzeichnis"/>
    <w:basedOn w:val="Normal"/>
    <w:qFormat/>
    <w:pPr>
      <w:suppressLineNumbers/>
    </w:pPr>
    <w:rPr>
      <w:rFonts w:cs="Arial"/>
    </w:rPr>
  </w:style>
  <w:style w:type="paragraph" w:styleId="berschriftuser">
    <w:name w:val="Überschrift (user)"/>
    <w:basedOn w:val="Normal"/>
    <w:next w:val="BodyText"/>
    <w:qFormat/>
    <w:pPr>
      <w:keepNext w:val="true"/>
      <w:spacing w:before="240" w:after="120"/>
    </w:pPr>
    <w:rPr>
      <w:rFonts w:ascii="Liberation Sans" w:hAnsi="Liberation Sans" w:eastAsia="Microsoft YaHei" w:cs="Arial"/>
      <w:sz w:val="28"/>
      <w:szCs w:val="28"/>
    </w:rPr>
  </w:style>
  <w:style w:type="paragraph" w:styleId="Verzeichnisuser">
    <w:name w:val="Verzeichnis (user)"/>
    <w:basedOn w:val="Normal"/>
    <w:qFormat/>
    <w:pPr>
      <w:suppressLineNumbers/>
    </w:pPr>
    <w:rPr>
      <w:rFonts w:cs="Arial"/>
    </w:rPr>
  </w:style>
  <w:style w:type="paragraph" w:styleId="Kopf-Fuzeileuser">
    <w:name w:val="Kopf-/Fußzeile (user)"/>
    <w:basedOn w:val="Normal"/>
    <w:qFormat/>
    <w:pPr/>
    <w:rPr/>
  </w:style>
  <w:style w:type="paragraph" w:styleId="Kopf-Fuzeile">
    <w:name w:val="Kopf-/Fußzeile"/>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b/>
      <w:color w:val="000000"/>
      <w:spacing w:val="5"/>
      <w:kern w:val="2"/>
      <w:sz w:val="44"/>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berschriftuser"/>
    <w:pPr/>
    <w:rPr/>
  </w:style>
  <w:style w:type="paragraph" w:styleId="TOCHeading">
    <w:name w:val="TOC Heading"/>
    <w:basedOn w:val="Heading1"/>
    <w:next w:val="Normal"/>
    <w:uiPriority w:val="39"/>
    <w:semiHidden/>
    <w:unhideWhenUsed/>
    <w:qFormat/>
    <w:rsid w:val="00fc693f"/>
    <w:pPr>
      <w:outlineLvl w:val="9"/>
    </w:pPr>
    <w:rPr/>
  </w:style>
  <w:style w:type="paragraph" w:styleId="Tabelleninhaltuser">
    <w:name w:val="Tabelleninhalt (user)"/>
    <w:basedOn w:val="Normal"/>
    <w:qFormat/>
    <w:pPr>
      <w:widowControl w:val="false"/>
      <w:suppressLineNumbers/>
    </w:pPr>
    <w:rPr/>
  </w:style>
  <w:style w:type="paragraph" w:styleId="Tabellenberschriftuser">
    <w:name w:val="Tabellenüberschrift (user)"/>
    <w:basedOn w:val="Tabelleninhaltuser"/>
    <w:qFormat/>
    <w:pPr>
      <w:suppressLineNumbers/>
      <w:jc w:val="center"/>
    </w:pPr>
    <w:rPr>
      <w:b/>
      <w:bCs/>
    </w:rPr>
  </w:style>
  <w:style w:type="numbering" w:styleId="KeineListeuser" w:default="1">
    <w:name w:val="Keine Liste (user)"/>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Application>LibreOffice/26.2.6.3$Windows_X86_64 LibreOffice_project/8221e31b3ac356a1623c672912a3d2b492f7e3d1</Application>
  <AppVersion>15.0000</AppVersion>
  <Pages>3</Pages>
  <Words>720</Words>
  <Characters>5905</Characters>
  <CharactersWithSpaces>6571</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de-DE</dc:language>
  <cp:lastModifiedBy>Peter Churs</cp:lastModifiedBy>
  <dcterms:modified xsi:type="dcterms:W3CDTF">2026-10-03T17:01:23Z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