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b/>
          <w:color w:val="5A5A5A"/>
          <w:sz w:val="18"/>
        </w:rPr>
        <w:t>QUALITÄTSMANAGEMENT</w:t>
      </w:r>
    </w:p>
    <w:p>
      <w:pPr>
        <w:pStyle w:val="Normal"/>
        <w:jc w:val="start"/>
        <w:rPr>
          <w:rFonts w:ascii="Calibri" w:hAnsi="Calibri"/>
          <w:b/>
          <w:bCs/>
          <w:sz w:val="44"/>
          <w:szCs w:val="44"/>
          <w:u w:val="single"/>
        </w:rPr>
      </w:pPr>
      <w:r>
        <w:rPr>
          <w:rFonts w:ascii="Calibri" w:hAnsi="Calibri"/>
          <w:b/>
          <w:bCs/>
          <w:sz w:val="44"/>
          <w:szCs w:val="44"/>
          <w:u w:val="single"/>
        </w:rPr>
        <w:t>Standard Kompressionstherapie</w:t>
      </w:r>
    </w:p>
    <w:p>
      <w:pPr>
        <w:pStyle w:val="Normal"/>
        <w:spacing w:before="0" w:after="280"/>
        <w:rPr/>
      </w:pPr>
      <w:r>
        <w:rPr>
          <w:i/>
          <w:color w:val="464646"/>
          <w:sz w:val="20"/>
        </w:rPr>
        <w:t>QM-Vorlage · Anamnese · Wundbeurteilung · Therapieplanung</w:t>
      </w:r>
    </w:p>
    <w:tbl>
      <w:tblPr>
        <w:tblW w:w="9632"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2408"/>
        <w:gridCol w:w="2408"/>
        <w:gridCol w:w="2408"/>
        <w:gridCol w:w="2408"/>
      </w:tblGrid>
      <w:tr>
        <w:trPr/>
        <w:tc>
          <w:tcPr>
            <w:tcW w:w="2408" w:type="dxa"/>
            <w:tcBorders/>
            <w:shd w:fill="FAFAFA" w:val="clear"/>
            <w:vAlign w:val="center"/>
          </w:tcPr>
          <w:p>
            <w:pPr>
              <w:pStyle w:val="Normal"/>
              <w:widowControl/>
              <w:bidi w:val="0"/>
              <w:spacing w:lineRule="auto" w:line="276" w:before="0" w:after="200"/>
              <w:jc w:val="start"/>
              <w:rPr/>
            </w:pPr>
            <w:r>
              <w:rPr>
                <w:b/>
                <w:sz w:val="17"/>
              </w:rPr>
              <w:t>Dokument-Nr.</w:t>
            </w:r>
          </w:p>
        </w:tc>
        <w:tc>
          <w:tcPr>
            <w:tcW w:w="2408" w:type="dxa"/>
            <w:tcBorders/>
            <w:shd w:fill="FAFAFA" w:val="clear"/>
            <w:vAlign w:val="center"/>
          </w:tcPr>
          <w:p>
            <w:pPr>
              <w:pStyle w:val="Normal"/>
              <w:widowControl/>
              <w:bidi w:val="0"/>
              <w:spacing w:lineRule="auto" w:line="276" w:before="0" w:after="200"/>
              <w:jc w:val="start"/>
              <w:rPr/>
            </w:pPr>
            <w:r>
              <w:rPr>
                <w:b/>
                <w:sz w:val="17"/>
              </w:rPr>
              <w:t>Version</w:t>
            </w:r>
          </w:p>
        </w:tc>
        <w:tc>
          <w:tcPr>
            <w:tcW w:w="2408" w:type="dxa"/>
            <w:tcBorders/>
            <w:shd w:fill="FAFAFA" w:val="clear"/>
            <w:vAlign w:val="center"/>
          </w:tcPr>
          <w:p>
            <w:pPr>
              <w:pStyle w:val="Normal"/>
              <w:widowControl/>
              <w:bidi w:val="0"/>
              <w:spacing w:lineRule="auto" w:line="276" w:before="0" w:after="200"/>
              <w:jc w:val="start"/>
              <w:rPr/>
            </w:pPr>
            <w:r>
              <w:rPr>
                <w:b/>
                <w:sz w:val="17"/>
              </w:rPr>
              <w:t>Erstellt / geprüft</w:t>
            </w:r>
          </w:p>
        </w:tc>
        <w:tc>
          <w:tcPr>
            <w:tcW w:w="2408" w:type="dxa"/>
            <w:tcBorders/>
            <w:shd w:fill="FAFAFA" w:val="clear"/>
            <w:vAlign w:val="center"/>
          </w:tcPr>
          <w:p>
            <w:pPr>
              <w:pStyle w:val="Normal"/>
              <w:widowControl/>
              <w:bidi w:val="0"/>
              <w:spacing w:lineRule="auto" w:line="276" w:before="0" w:after="200"/>
              <w:jc w:val="start"/>
              <w:rPr/>
            </w:pPr>
            <w:r>
              <w:rPr>
                <w:b/>
                <w:sz w:val="17"/>
              </w:rPr>
              <w:t>Freigabe</w:t>
            </w:r>
          </w:p>
        </w:tc>
      </w:tr>
      <w:tr>
        <w:trPr/>
        <w:tc>
          <w:tcPr>
            <w:tcW w:w="2408" w:type="dxa"/>
            <w:tcBorders/>
            <w:shd w:fill="FAFAFA" w:val="clear"/>
          </w:tcPr>
          <w:p>
            <w:pPr>
              <w:pStyle w:val="Normal"/>
              <w:widowControl/>
              <w:bidi w:val="0"/>
              <w:spacing w:lineRule="auto" w:line="276" w:before="0" w:after="200"/>
              <w:jc w:val="start"/>
              <w:rPr/>
            </w:pPr>
            <w:r>
              <w:rPr>
                <w:sz w:val="18"/>
              </w:rPr>
              <w:t>QM-WP-001</w:t>
            </w:r>
          </w:p>
        </w:tc>
        <w:tc>
          <w:tcPr>
            <w:tcW w:w="2408" w:type="dxa"/>
            <w:tcBorders/>
            <w:shd w:fill="FAFAFA" w:val="clear"/>
          </w:tcPr>
          <w:p>
            <w:pPr>
              <w:pStyle w:val="Normal"/>
              <w:widowControl/>
              <w:bidi w:val="0"/>
              <w:spacing w:lineRule="auto" w:line="276" w:before="0" w:after="200"/>
              <w:jc w:val="start"/>
              <w:rPr/>
            </w:pPr>
            <w:r>
              <w:rPr>
                <w:sz w:val="18"/>
              </w:rPr>
              <w:t>1.0</w:t>
            </w:r>
          </w:p>
        </w:tc>
        <w:tc>
          <w:tcPr>
            <w:tcW w:w="2408" w:type="dxa"/>
            <w:tcBorders/>
            <w:shd w:fill="FAFAFA" w:val="clear"/>
          </w:tcPr>
          <w:p>
            <w:pPr>
              <w:pStyle w:val="Normal"/>
              <w:widowControl/>
              <w:bidi w:val="0"/>
              <w:spacing w:lineRule="auto" w:line="276" w:before="0" w:after="200"/>
              <w:jc w:val="start"/>
              <w:rPr/>
            </w:pPr>
            <w:r>
              <w:rPr>
                <w:sz w:val="18"/>
              </w:rPr>
              <w:t>____________</w:t>
            </w:r>
          </w:p>
        </w:tc>
        <w:tc>
          <w:tcPr>
            <w:tcW w:w="2408" w:type="dxa"/>
            <w:tcBorders/>
            <w:shd w:fill="FAFAFA" w:val="clear"/>
          </w:tcPr>
          <w:p>
            <w:pPr>
              <w:pStyle w:val="Normal"/>
              <w:widowControl/>
              <w:bidi w:val="0"/>
              <w:spacing w:lineRule="auto" w:line="276" w:before="0" w:after="200"/>
              <w:jc w:val="start"/>
              <w:rPr/>
            </w:pPr>
            <w:r>
              <w:rPr>
                <w:sz w:val="18"/>
              </w:rPr>
              <w:t>____________</w:t>
            </w:r>
          </w:p>
        </w:tc>
      </w:tr>
    </w:tbl>
    <w:p>
      <w:pPr>
        <w:pStyle w:val="Normal"/>
        <w:rPr/>
      </w:pPr>
      <w:r>
        <w:rPr/>
      </w:r>
    </w:p>
    <w:tbl>
      <w:tblPr>
        <w:tblW w:w="9360" w:type="dxa"/>
        <w:jc w:val="center"/>
        <w:tblInd w:w="0" w:type="dxa"/>
        <w:tblLayout w:type="fixed"/>
        <w:tblCellMar>
          <w:top w:w="100" w:type="dxa"/>
          <w:start w:w="150" w:type="dxa"/>
          <w:bottom w:w="100" w:type="dxa"/>
          <w:end w:w="150" w:type="dxa"/>
        </w:tblCellMar>
        <w:tblLook w:val="04a0" w:firstRow="1" w:noVBand="1" w:lastRow="0" w:firstColumn="1" w:lastColumn="0" w:noHBand="0"/>
      </w:tblPr>
      <w:tblGrid>
        <w:gridCol w:w="3168"/>
        <w:gridCol w:w="6192"/>
      </w:tblGrid>
      <w:tr>
        <w:trPr/>
        <w:tc>
          <w:tcPr>
            <w:tcW w:w="3168" w:type="dxa"/>
            <w:tcBorders>
              <w:top w:val="single" w:sz="4" w:space="0" w:color="CCCCCC"/>
              <w:start w:val="single" w:sz="4" w:space="0" w:color="CCCCCC"/>
              <w:bottom w:val="single" w:sz="4" w:space="0" w:color="CCCCCC"/>
              <w:end w:val="single" w:sz="4" w:space="0" w:color="CCCCCC"/>
            </w:tcBorders>
            <w:shd w:fill="F2F5F8" w:val="clear"/>
          </w:tcPr>
          <w:p>
            <w:pPr>
              <w:pStyle w:val="Normal"/>
              <w:spacing w:before="0" w:after="200"/>
              <w:rPr/>
            </w:pPr>
            <w:r>
              <w:rPr>
                <w:b/>
              </w:rPr>
              <w:t>Zielsetzung:</w:t>
            </w:r>
          </w:p>
        </w:tc>
        <w:tc>
          <w:tcPr>
            <w:tcW w:w="6192" w:type="dxa"/>
            <w:tcBorders>
              <w:top w:val="single" w:sz="4" w:space="0" w:color="CCCCCC"/>
              <w:start w:val="single" w:sz="4" w:space="0" w:color="CCCCCC"/>
              <w:bottom w:val="single" w:sz="4" w:space="0" w:color="CCCCCC"/>
              <w:end w:val="single" w:sz="4" w:space="0" w:color="CCCCCC"/>
            </w:tcBorders>
          </w:tcPr>
          <w:p>
            <w:pPr>
              <w:pStyle w:val="Normal"/>
              <w:spacing w:before="0" w:after="200"/>
              <w:rPr/>
            </w:pPr>
            <w:r>
              <w:rPr/>
              <w:t xml:space="preserve">Ziel der Kompressionstherapie ist die </w:t>
            </w:r>
            <w:r>
              <w:rPr>
                <w:rStyle w:val="Strong"/>
              </w:rPr>
              <w:t>gezielte Reduktion von Ödemen und venösen Stauungen</w:t>
            </w:r>
            <w:r>
              <w:rPr/>
              <w:t xml:space="preserve">, die Verbesserung des venösen und lymphatischen Rückflusses sowie die Unterstützung der Wundheilung bei geeigneter Indikation. </w:t>
            </w:r>
          </w:p>
        </w:tc>
      </w:tr>
    </w:tbl>
    <w:p>
      <w:pPr>
        <w:pStyle w:val="Normal"/>
        <w:spacing w:before="0" w:after="200"/>
        <w:rPr/>
      </w:pPr>
      <w:r>
        <w:rPr/>
      </w:r>
    </w:p>
    <w:p>
      <w:pPr>
        <w:pStyle w:val="Normal"/>
        <w:keepNext w:val="true"/>
        <w:spacing w:before="280" w:after="120"/>
        <w:rPr/>
      </w:pPr>
      <w:r>
        <w:rPr>
          <w:b/>
          <w:color w:val="003366"/>
          <w:sz w:val="26"/>
        </w:rPr>
        <w:t>Definition</w:t>
      </w:r>
    </w:p>
    <w:p>
      <w:pPr>
        <w:pStyle w:val="Normal"/>
        <w:numPr>
          <w:ilvl w:val="0"/>
          <w:numId w:val="0"/>
        </w:numPr>
        <w:rPr/>
      </w:pPr>
      <w:r>
        <w:rPr/>
        <w:t>Eine fachgerechte Kompression bewirkt durch Druck auf die venösen Gefäße deren Verengung und somit eine Verbesserung des Rücktransportes vom Blut zum Herzen. Durch eine Sach- und Fachgerechte ausgeführte Kompression, wird die Symptomatik des Ödems reduziert und daraus evtl. entstehende Folgen reduziert, wie z.B. Schmerzen durch Ödeme und Ulcerationen.</w:t>
      </w:r>
    </w:p>
    <w:p>
      <w:pPr>
        <w:pStyle w:val="Normal"/>
        <w:rPr>
          <w:b/>
          <w:bCs/>
          <w:color w:val="003366"/>
          <w:sz w:val="26"/>
          <w:szCs w:val="26"/>
        </w:rPr>
      </w:pPr>
      <w:r>
        <w:rPr>
          <w:b/>
          <w:bCs/>
          <w:color w:val="003366"/>
          <w:sz w:val="26"/>
          <w:szCs w:val="26"/>
        </w:rPr>
      </w:r>
    </w:p>
    <w:p>
      <w:pPr>
        <w:pStyle w:val="Normal"/>
        <w:rPr>
          <w:b/>
          <w:bCs/>
          <w:color w:val="003366"/>
          <w:sz w:val="26"/>
          <w:szCs w:val="26"/>
        </w:rPr>
      </w:pPr>
      <w:r>
        <w:rPr>
          <w:b/>
          <w:bCs/>
          <w:color w:val="003366"/>
          <w:sz w:val="26"/>
          <w:szCs w:val="26"/>
        </w:rPr>
        <w:t>Grundsätzliches</w:t>
      </w:r>
    </w:p>
    <w:p>
      <w:pPr>
        <w:pStyle w:val="Normal"/>
        <w:numPr>
          <w:ilvl w:val="0"/>
          <w:numId w:val="8"/>
        </w:numPr>
        <w:rPr/>
      </w:pPr>
      <w:r>
        <w:rPr/>
        <w:t>Patient sollte Compliance aufweisen</w:t>
      </w:r>
    </w:p>
    <w:p>
      <w:pPr>
        <w:pStyle w:val="Tabelleninhalt"/>
        <w:numPr>
          <w:ilvl w:val="0"/>
          <w:numId w:val="8"/>
        </w:numPr>
        <w:rPr/>
      </w:pPr>
      <w:r>
        <w:rPr/>
        <w:t>Kurzzugbinden sowie Flach- und Rundstrickstrümpfe arbeiten mit dem</w:t>
      </w:r>
    </w:p>
    <w:p>
      <w:pPr>
        <w:pStyle w:val="Tabelleninhalt"/>
        <w:rPr/>
      </w:pPr>
      <w:r>
        <w:rPr/>
        <w:t xml:space="preserve">  </w:t>
      </w:r>
      <w:r>
        <w:rPr/>
        <w:tab/>
        <w:t>Arbeitsdruck → Ohne Bewegung zeigt die Kompression nur wenig Wirkung</w:t>
      </w:r>
    </w:p>
    <w:p>
      <w:pPr>
        <w:pStyle w:val="Tabelleninhalt"/>
        <w:numPr>
          <w:ilvl w:val="0"/>
          <w:numId w:val="9"/>
        </w:numPr>
        <w:rPr/>
      </w:pPr>
      <w:r>
        <w:rPr/>
        <w:t>Je nach Diagnose entscheidet der Arzt ob bis zum Knie oder bis zum Oberschenkel</w:t>
      </w:r>
    </w:p>
    <w:p>
      <w:pPr>
        <w:pStyle w:val="Tabelleninhalt"/>
        <w:rPr/>
      </w:pPr>
      <w:r>
        <w:rPr/>
        <w:t xml:space="preserve"> </w:t>
      </w:r>
      <w:r>
        <w:rPr/>
        <w:tab/>
        <w:t xml:space="preserve"> Komprimiert wird</w:t>
      </w:r>
    </w:p>
    <w:p>
      <w:pPr>
        <w:pStyle w:val="Tabelleninhalt"/>
        <w:numPr>
          <w:ilvl w:val="0"/>
          <w:numId w:val="10"/>
        </w:numPr>
        <w:rPr/>
      </w:pPr>
      <w:r>
        <w:rPr/>
        <w:t>Es sollte eine ausreichende Kompression erfolgen es wird unterschieden zwischen:</w:t>
      </w:r>
    </w:p>
    <w:p>
      <w:pPr>
        <w:pStyle w:val="Tabelleninhalt"/>
        <w:numPr>
          <w:ilvl w:val="0"/>
          <w:numId w:val="7"/>
        </w:numPr>
        <w:rPr/>
      </w:pPr>
      <w:r>
        <w:rPr/>
        <w:t>leicht (KKL 1): 18-21 mmHg</w:t>
      </w:r>
    </w:p>
    <w:p>
      <w:pPr>
        <w:pStyle w:val="Tabelleninhalt"/>
        <w:numPr>
          <w:ilvl w:val="0"/>
          <w:numId w:val="7"/>
        </w:numPr>
        <w:rPr/>
      </w:pPr>
      <w:r>
        <w:rPr/>
        <w:t>mittelstark (KKL 2): ≥ 20–40  mmHg</w:t>
      </w:r>
    </w:p>
    <w:p>
      <w:pPr>
        <w:pStyle w:val="Tabelleninhalt"/>
        <w:numPr>
          <w:ilvl w:val="0"/>
          <w:numId w:val="7"/>
        </w:numPr>
        <w:rPr/>
      </w:pPr>
      <w:r>
        <w:rPr/>
        <w:t>stark (KKL 3): ≥ 40–60 mmHg</w:t>
      </w:r>
    </w:p>
    <w:p>
      <w:pPr>
        <w:pStyle w:val="Tabelleninhalt"/>
        <w:numPr>
          <w:ilvl w:val="0"/>
          <w:numId w:val="7"/>
        </w:numPr>
        <w:rPr/>
      </w:pPr>
      <w:r>
        <w:rPr/>
        <w:t>sehr stark (KKL 4): &gt; 60 mmHg</w:t>
      </w:r>
    </w:p>
    <w:p>
      <w:pPr>
        <w:pStyle w:val="Tabelleninhalt"/>
        <w:numPr>
          <w:ilvl w:val="0"/>
          <w:numId w:val="7"/>
        </w:numPr>
        <w:rPr/>
      </w:pPr>
      <w:r>
        <w:rPr/>
        <w:t>a</w:t>
      </w:r>
      <w:r>
        <w:rPr/>
        <w:t>daptiven Kompressionsbandage wie z.B. Compreflex Standard, sind leichter zu</w:t>
      </w:r>
    </w:p>
    <w:p>
      <w:pPr>
        <w:pStyle w:val="Tabelleninhalt"/>
        <w:rPr/>
      </w:pPr>
      <w:r>
        <w:rPr/>
        <w:t xml:space="preserve"> </w:t>
      </w:r>
      <w:r>
        <w:rPr/>
        <w:tab/>
        <w:t>Applizieren und der gewünschte Druck kann über das Klettsystem erreicht werden</w:t>
      </w:r>
    </w:p>
    <w:p>
      <w:pPr>
        <w:pStyle w:val="Tabelleninhalt"/>
        <w:numPr>
          <w:ilvl w:val="0"/>
          <w:numId w:val="11"/>
        </w:numPr>
        <w:rPr/>
      </w:pPr>
      <w:r>
        <w:rPr/>
        <w:t xml:space="preserve">Kompressionsverband dient meist in der Zeit der </w:t>
      </w:r>
      <w:r>
        <w:rPr>
          <w:rStyle w:val="Absatz-Standardschriftart"/>
          <w:b/>
          <w:bCs/>
        </w:rPr>
        <w:t>Entstauungsphase</w:t>
      </w:r>
      <w:r>
        <w:rPr/>
        <w:t>, oft wird</w:t>
      </w:r>
    </w:p>
    <w:p>
      <w:pPr>
        <w:pStyle w:val="Tabelleninhalt"/>
        <w:rPr/>
      </w:pPr>
      <w:r>
        <w:rPr/>
        <w:t xml:space="preserve">  </w:t>
      </w:r>
      <w:r>
        <w:rPr/>
        <w:tab/>
        <w:t>zwischen 2-3 Wochen angegeben, kann aber je nach Patient und Krankheitsbild</w:t>
      </w:r>
    </w:p>
    <w:p>
      <w:pPr>
        <w:pStyle w:val="Tabelleninhalt"/>
        <w:rPr/>
      </w:pPr>
      <w:r>
        <w:rPr/>
        <w:t xml:space="preserve"> </w:t>
      </w:r>
      <w:r>
        <w:rPr/>
        <w:tab/>
        <w:t>sich auch verlängern</w:t>
      </w:r>
    </w:p>
    <w:p>
      <w:pPr>
        <w:pStyle w:val="Tabelleninhalt"/>
        <w:numPr>
          <w:ilvl w:val="0"/>
          <w:numId w:val="12"/>
        </w:numPr>
        <w:rPr/>
      </w:pPr>
      <w:r>
        <w:rPr/>
        <w:t>nach der Entstauungsphase, kommt die Erhaltungsphase, diese wird meist mit</w:t>
      </w:r>
    </w:p>
    <w:p>
      <w:pPr>
        <w:pStyle w:val="Tabelleninhalt"/>
        <w:rPr/>
      </w:pPr>
      <w:r>
        <w:rPr/>
        <w:tab/>
        <w:t xml:space="preserve"> Kompressionsstrümpfen versorgt</w:t>
      </w:r>
    </w:p>
    <w:p>
      <w:pPr>
        <w:pStyle w:val="Tabelleninhalt"/>
        <w:numPr>
          <w:ilvl w:val="0"/>
          <w:numId w:val="13"/>
        </w:numPr>
        <w:rPr/>
      </w:pPr>
      <w:r>
        <w:rPr/>
        <w:t>in Bewegung und Ödem Reduktion, nimmt der Druck vor allem am ersten Tag,</w:t>
      </w:r>
    </w:p>
    <w:p>
      <w:pPr>
        <w:pStyle w:val="Tabelleninhalt"/>
        <w:rPr/>
      </w:pPr>
      <w:r>
        <w:rPr/>
        <w:t xml:space="preserve"> </w:t>
      </w:r>
      <w:r>
        <w:rPr/>
        <w:tab/>
        <w:t>rasch ab, daher sollten die Verbände tgl. erneuert werden</w:t>
      </w:r>
    </w:p>
    <w:p>
      <w:pPr>
        <w:pStyle w:val="Tabelleninhalt"/>
        <w:numPr>
          <w:ilvl w:val="0"/>
          <w:numId w:val="14"/>
        </w:numPr>
        <w:rPr/>
      </w:pPr>
      <w:r>
        <w:rPr/>
        <w:t>Eine Hautpflege zwischen den Bandagierungen sollte durchgeführt werden</w:t>
      </w:r>
    </w:p>
    <w:p>
      <w:pPr>
        <w:pStyle w:val="Tabelleninhalt"/>
        <w:numPr>
          <w:ilvl w:val="0"/>
          <w:numId w:val="14"/>
        </w:numPr>
        <w:rPr/>
      </w:pPr>
      <w:r>
        <w:rPr/>
        <w:t>Herstellerangaben beim Waschen der Kompressionsbinden beachten, ebenso sollten die Kompressionsbinden auch lt. Herstellerangaben erneuert werden, da Sie nach einiger Zeit Ihre Elastizität und somit die Funktion verlieren</w:t>
      </w:r>
    </w:p>
    <w:p>
      <w:pPr>
        <w:pStyle w:val="Tabelleninhalt"/>
        <w:numPr>
          <w:ilvl w:val="0"/>
          <w:numId w:val="15"/>
        </w:numPr>
        <w:rPr/>
      </w:pPr>
      <w:r>
        <w:rPr/>
        <w:t>Da eine Kompression (gerade für ältere) eine Erhöhung der Belastung des Herzens darstellen kann, empfehlt es sich, in Absprache mit dem Arzt, Digitoxin 0,07 zu verabreichen</w:t>
      </w:r>
    </w:p>
    <w:p>
      <w:pPr>
        <w:pStyle w:val="Tabelleninhalt"/>
        <w:numPr>
          <w:ilvl w:val="0"/>
          <w:numId w:val="15"/>
        </w:numPr>
        <w:rPr/>
      </w:pPr>
      <w:r>
        <w:rPr/>
        <w:t xml:space="preserve">Vor einer Kompression, bei unklaren Venenstatus, sollte der Knöchel-Arm-Index berechnet werden </w:t>
      </w:r>
    </w:p>
    <w:p>
      <w:pPr>
        <w:pStyle w:val="Tabelleninhalt"/>
        <w:rPr>
          <w:sz w:val="24"/>
          <w:szCs w:val="24"/>
        </w:rPr>
      </w:pPr>
      <w:r>
        <w:rPr>
          <w:b/>
          <w:bCs/>
          <w:sz w:val="24"/>
          <w:szCs w:val="24"/>
        </w:rPr>
        <w:t>Unterpolsterung</w:t>
      </w:r>
    </w:p>
    <w:p>
      <w:pPr>
        <w:pStyle w:val="Tabelleninhalt"/>
        <w:rPr/>
      </w:pPr>
      <w:r>
        <w:rPr/>
        <w:t>Eine Unterpolsterung kann evtl. Druckschäden vorbeugen, wie z.B. bei einem Unsachgemäß angelegten Kompressionsverband</w:t>
      </w:r>
    </w:p>
    <w:p>
      <w:pPr>
        <w:pStyle w:val="Tabelleninhalt"/>
        <w:keepNext w:val="true"/>
        <w:spacing w:before="280" w:after="120"/>
        <w:rPr/>
      </w:pPr>
      <w:r>
        <w:rPr>
          <w:b/>
          <w:color w:val="666666"/>
          <w:sz w:val="23"/>
        </w:rPr>
        <w:t>!,,</w:t>
      </w:r>
      <w:r>
        <w:rPr>
          <w:rStyle w:val="Absatz-Standardschriftart"/>
          <w:b/>
          <w:color w:val="C5000B"/>
          <w:sz w:val="23"/>
        </w:rPr>
        <w:t>Schwiegermütter</w:t>
      </w:r>
      <w:r>
        <w:rPr>
          <w:b/>
          <w:color w:val="666666"/>
          <w:sz w:val="23"/>
        </w:rPr>
        <w:t>“! Dürfen nicht zur Fixierung der Binden benutzt werden!</w:t>
      </w:r>
    </w:p>
    <w:p>
      <w:pPr>
        <w:pStyle w:val="Normal"/>
        <w:keepNext w:val="true"/>
        <w:spacing w:before="280" w:after="120"/>
        <w:rPr>
          <w:b/>
          <w:color w:val="003366"/>
          <w:sz w:val="26"/>
          <w:szCs w:val="26"/>
          <w:u w:val="single"/>
        </w:rPr>
      </w:pPr>
      <w:r>
        <w:rPr>
          <w:b/>
          <w:color w:val="003366"/>
          <w:sz w:val="26"/>
          <w:szCs w:val="26"/>
          <w:u w:val="single"/>
        </w:rPr>
        <w:t>Indikationen</w:t>
      </w:r>
    </w:p>
    <w:p>
      <w:pPr>
        <w:pStyle w:val="Tabelleninhalt"/>
        <w:rPr>
          <w:b/>
          <w:bCs/>
        </w:rPr>
      </w:pPr>
      <w:r>
        <w:rPr>
          <w:b/>
          <w:bCs/>
        </w:rPr>
        <w:t>Ödeme</w:t>
      </w:r>
    </w:p>
    <w:p>
      <w:pPr>
        <w:pStyle w:val="Tabelleninhalt"/>
        <w:numPr>
          <w:ilvl w:val="0"/>
          <w:numId w:val="16"/>
        </w:numPr>
        <w:rPr/>
      </w:pPr>
      <w:r>
        <w:rPr/>
        <w:t>Lymphödem</w:t>
      </w:r>
    </w:p>
    <w:p>
      <w:pPr>
        <w:pStyle w:val="Tabelleninhalt"/>
        <w:numPr>
          <w:ilvl w:val="0"/>
          <w:numId w:val="16"/>
        </w:numPr>
        <w:rPr/>
      </w:pPr>
      <w:r>
        <w:rPr/>
        <w:t>Lipödem</w:t>
      </w:r>
    </w:p>
    <w:p>
      <w:pPr>
        <w:pStyle w:val="Tabelleninhalt"/>
        <w:numPr>
          <w:ilvl w:val="0"/>
          <w:numId w:val="16"/>
        </w:numPr>
        <w:rPr/>
      </w:pPr>
      <w:r>
        <w:rPr/>
        <w:t>Idiopathisches Ödem</w:t>
      </w:r>
    </w:p>
    <w:p>
      <w:pPr>
        <w:pStyle w:val="Tabelleninhalt"/>
        <w:numPr>
          <w:ilvl w:val="0"/>
          <w:numId w:val="16"/>
        </w:numPr>
        <w:rPr/>
      </w:pPr>
      <w:r>
        <w:rPr/>
        <w:t>P</w:t>
      </w:r>
      <w:r>
        <w:rPr/>
        <w:t>ostoperative Ödeme</w:t>
      </w:r>
    </w:p>
    <w:p>
      <w:pPr>
        <w:pStyle w:val="Tabelleninhalt"/>
        <w:numPr>
          <w:ilvl w:val="0"/>
          <w:numId w:val="16"/>
        </w:numPr>
        <w:rPr/>
      </w:pPr>
      <w:r>
        <w:rPr/>
        <w:t>Medikamentös bedingte Ödeme</w:t>
      </w:r>
    </w:p>
    <w:p>
      <w:pPr>
        <w:pStyle w:val="Tabelleninhalt"/>
        <w:numPr>
          <w:ilvl w:val="0"/>
          <w:numId w:val="16"/>
        </w:numPr>
        <w:rPr/>
      </w:pPr>
      <w:r>
        <w:rPr/>
        <w:t>Berufsbedingte Ödeme</w:t>
      </w:r>
    </w:p>
    <w:p>
      <w:pPr>
        <w:pStyle w:val="Tabelleninhalt"/>
        <w:numPr>
          <w:ilvl w:val="0"/>
          <w:numId w:val="16"/>
        </w:numPr>
        <w:rPr/>
      </w:pPr>
      <w:r>
        <w:rPr/>
        <w:t>Schwangerschaft bedingte Ödeme</w:t>
      </w:r>
    </w:p>
    <w:p>
      <w:pPr>
        <w:pStyle w:val="Tabelleninhalt"/>
        <w:numPr>
          <w:ilvl w:val="0"/>
          <w:numId w:val="16"/>
        </w:numPr>
        <w:rPr/>
      </w:pPr>
      <w:r>
        <w:rPr/>
        <w:t>Ödeme aufgrund Immobilität z.B. bei Paresen</w:t>
      </w:r>
    </w:p>
    <w:p>
      <w:pPr>
        <w:pStyle w:val="Tabelleninhalt"/>
        <w:rPr/>
      </w:pPr>
      <w:r>
        <w:rPr/>
      </w:r>
    </w:p>
    <w:p>
      <w:pPr>
        <w:pStyle w:val="Tabelleninhalt"/>
        <w:rPr>
          <w:b/>
          <w:bCs/>
        </w:rPr>
      </w:pPr>
      <w:r>
        <w:rPr>
          <w:b/>
          <w:bCs/>
        </w:rPr>
        <w:t>Venenkrankheiten</w:t>
      </w:r>
    </w:p>
    <w:p>
      <w:pPr>
        <w:pStyle w:val="Tabelleninhalt"/>
        <w:numPr>
          <w:ilvl w:val="0"/>
          <w:numId w:val="17"/>
        </w:numPr>
        <w:rPr/>
      </w:pPr>
      <w:r>
        <w:rPr/>
        <w:t>V</w:t>
      </w:r>
      <w:r>
        <w:rPr/>
        <w:t>enöse Malformationen</w:t>
      </w:r>
    </w:p>
    <w:p>
      <w:pPr>
        <w:pStyle w:val="Tabelleninhalt"/>
        <w:numPr>
          <w:ilvl w:val="0"/>
          <w:numId w:val="17"/>
        </w:numPr>
        <w:rPr/>
      </w:pPr>
      <w:r>
        <w:rPr/>
        <w:t>Venöse Insuffizienz</w:t>
      </w:r>
    </w:p>
    <w:p>
      <w:pPr>
        <w:pStyle w:val="Tabelleninhalt"/>
        <w:numPr>
          <w:ilvl w:val="0"/>
          <w:numId w:val="17"/>
        </w:numPr>
        <w:rPr/>
      </w:pPr>
      <w:r>
        <w:rPr/>
        <w:t>Varikosis</w:t>
      </w:r>
    </w:p>
    <w:p>
      <w:pPr>
        <w:pStyle w:val="Tabelleninhalt"/>
        <w:rPr/>
      </w:pPr>
      <w:r>
        <w:rPr/>
      </w:r>
    </w:p>
    <w:p>
      <w:pPr>
        <w:pStyle w:val="Tabelleninhalt"/>
        <w:rPr>
          <w:b/>
          <w:bCs/>
        </w:rPr>
      </w:pPr>
      <w:r>
        <w:rPr>
          <w:b/>
          <w:bCs/>
        </w:rPr>
        <w:t>Thromboembolitische Venenkrankheiten</w:t>
      </w:r>
    </w:p>
    <w:p>
      <w:pPr>
        <w:pStyle w:val="Tabelleninhalt"/>
        <w:numPr>
          <w:ilvl w:val="0"/>
          <w:numId w:val="18"/>
        </w:numPr>
        <w:rPr/>
      </w:pPr>
      <w:r>
        <w:rPr/>
        <w:t>Venenthrombose</w:t>
      </w:r>
    </w:p>
    <w:p>
      <w:pPr>
        <w:pStyle w:val="Tabelleninhalt"/>
        <w:rPr/>
      </w:pPr>
      <w:r>
        <w:rPr/>
      </w:r>
    </w:p>
    <w:p>
      <w:pPr>
        <w:pStyle w:val="Tabelleninhalt"/>
        <w:rPr>
          <w:b/>
          <w:bCs/>
        </w:rPr>
      </w:pPr>
      <w:r>
        <w:rPr>
          <w:b/>
          <w:bCs/>
        </w:rPr>
        <w:t>Sonstige Indikationen</w:t>
      </w:r>
    </w:p>
    <w:p>
      <w:pPr>
        <w:pStyle w:val="Tabelleninhalt"/>
        <w:numPr>
          <w:ilvl w:val="0"/>
          <w:numId w:val="19"/>
        </w:numPr>
        <w:rPr/>
      </w:pPr>
      <w:r>
        <w:rPr/>
        <w:t>Verbesserung venöser Symptomatik</w:t>
      </w:r>
    </w:p>
    <w:p>
      <w:pPr>
        <w:pStyle w:val="Tabelleninhalt"/>
        <w:numPr>
          <w:ilvl w:val="0"/>
          <w:numId w:val="19"/>
        </w:numPr>
        <w:rPr/>
      </w:pPr>
      <w:r>
        <w:rPr/>
        <w:t>Prophylaxe von Ödemen und daraus resultierende folgen wie z.B. Schmerzen, Hautveränderungen (Atrophie Blanche)</w:t>
      </w:r>
    </w:p>
    <w:p>
      <w:pPr>
        <w:pStyle w:val="Tabelleninhalt"/>
        <w:numPr>
          <w:ilvl w:val="0"/>
          <w:numId w:val="19"/>
        </w:numPr>
        <w:rPr/>
      </w:pPr>
      <w:r>
        <w:rPr/>
        <w:t>zur Therapie wie z.B. bei Ulcus cruris Venosum und -mixtum</w:t>
      </w:r>
    </w:p>
    <w:p>
      <w:pPr>
        <w:pStyle w:val="Tabelleninhalt"/>
        <w:numPr>
          <w:ilvl w:val="0"/>
          <w:numId w:val="19"/>
        </w:numPr>
        <w:rPr/>
      </w:pPr>
      <w:r>
        <w:rPr/>
        <w:t>zur Narbenbehandlung</w:t>
      </w:r>
    </w:p>
    <w:p>
      <w:pPr>
        <w:pStyle w:val="Tabelleninhalt"/>
        <w:numPr>
          <w:ilvl w:val="0"/>
          <w:numId w:val="19"/>
        </w:numPr>
        <w:rPr/>
      </w:pPr>
      <w:r>
        <w:rPr/>
        <w:t>Dermatosen der Beine</w:t>
      </w:r>
    </w:p>
    <w:p>
      <w:pPr>
        <w:pStyle w:val="Tabelleninhalt"/>
        <w:numPr>
          <w:ilvl w:val="0"/>
          <w:numId w:val="19"/>
        </w:numPr>
        <w:rPr/>
      </w:pPr>
      <w:r>
        <w:rPr/>
        <w:t>zur Behandlung Postoperativer Verbrennungen</w:t>
      </w:r>
    </w:p>
    <w:p>
      <w:pPr>
        <w:pStyle w:val="Tabelleninhalt"/>
        <w:numPr>
          <w:ilvl w:val="0"/>
          <w:numId w:val="19"/>
        </w:numPr>
        <w:spacing w:before="280" w:after="120"/>
        <w:rPr>
          <w:b w:val="false"/>
          <w:bCs w:val="false"/>
          <w:color w:val="000000"/>
          <w:sz w:val="21"/>
          <w:szCs w:val="21"/>
        </w:rPr>
      </w:pPr>
      <w:r>
        <w:rPr>
          <w:b w:val="false"/>
          <w:bCs w:val="false"/>
          <w:color w:val="000000"/>
          <w:sz w:val="21"/>
          <w:szCs w:val="21"/>
        </w:rPr>
        <w:t>Varizen Verödung</w:t>
      </w:r>
    </w:p>
    <w:p>
      <w:pPr>
        <w:pStyle w:val="Tabelleninhalt"/>
        <w:spacing w:before="280" w:after="120"/>
        <w:rPr>
          <w:b w:val="false"/>
          <w:bCs w:val="false"/>
          <w:color w:val="000000"/>
          <w:sz w:val="21"/>
          <w:szCs w:val="21"/>
        </w:rPr>
      </w:pPr>
      <w:r>
        <w:rPr>
          <w:b w:val="false"/>
          <w:bCs w:val="false"/>
          <w:color w:val="000000"/>
          <w:sz w:val="21"/>
          <w:szCs w:val="21"/>
        </w:rPr>
      </w:r>
    </w:p>
    <w:p>
      <w:pPr>
        <w:pStyle w:val="Tabelleninhalt"/>
        <w:spacing w:before="280" w:after="120"/>
        <w:rPr>
          <w:b/>
          <w:bCs/>
          <w:color w:val="003366"/>
          <w:sz w:val="26"/>
          <w:szCs w:val="26"/>
          <w:u w:val="single"/>
        </w:rPr>
      </w:pPr>
      <w:r>
        <w:rPr>
          <w:b/>
          <w:bCs/>
          <w:color w:val="003366"/>
          <w:sz w:val="26"/>
          <w:szCs w:val="26"/>
          <w:u w:val="single"/>
        </w:rPr>
        <w:t>Kontraindikationen</w:t>
      </w:r>
    </w:p>
    <w:p>
      <w:pPr>
        <w:pStyle w:val="Tabelleninhalt"/>
        <w:numPr>
          <w:ilvl w:val="0"/>
          <w:numId w:val="20"/>
        </w:numPr>
        <w:rPr/>
      </w:pPr>
      <w:r>
        <w:rPr/>
        <w:t>Dekompensierte Herzinsuffizienz ab Stadium III</w:t>
      </w:r>
    </w:p>
    <w:p>
      <w:pPr>
        <w:pStyle w:val="Tabelleninhalt"/>
        <w:numPr>
          <w:ilvl w:val="0"/>
          <w:numId w:val="20"/>
        </w:numPr>
        <w:rPr/>
      </w:pPr>
      <w:r>
        <w:rPr/>
        <w:t>Phlebitis</w:t>
      </w:r>
    </w:p>
    <w:p>
      <w:pPr>
        <w:pStyle w:val="Tabelleninhalt"/>
        <w:numPr>
          <w:ilvl w:val="0"/>
          <w:numId w:val="20"/>
        </w:numPr>
        <w:rPr/>
      </w:pPr>
      <w:r>
        <w:rPr/>
        <w:t>Phlegmasia coerulea dolens</w:t>
      </w:r>
    </w:p>
    <w:p>
      <w:pPr>
        <w:pStyle w:val="Tabelleninhalt"/>
        <w:numPr>
          <w:ilvl w:val="0"/>
          <w:numId w:val="20"/>
        </w:numPr>
        <w:rPr/>
      </w:pPr>
      <w:r>
        <w:rPr/>
        <w:t xml:space="preserve">PAVK ab Stadium III /auch vorher sollte eine Kompression nur mit leichtem Druck </w:t>
      </w:r>
      <w:r>
        <w:rPr>
          <w:b w:val="false"/>
          <w:bCs w:val="false"/>
          <w:color w:val="000000"/>
          <w:sz w:val="21"/>
          <w:szCs w:val="21"/>
          <w:u w:val="none"/>
        </w:rPr>
        <w:t>erfolgen</w:t>
      </w:r>
    </w:p>
    <w:p>
      <w:pPr>
        <w:pStyle w:val="Tabelleninhalt"/>
        <w:rPr>
          <w:b w:val="false"/>
          <w:bCs w:val="false"/>
          <w:color w:val="000000"/>
          <w:sz w:val="21"/>
          <w:szCs w:val="21"/>
          <w:u w:val="none"/>
        </w:rPr>
      </w:pPr>
      <w:r>
        <w:rPr>
          <w:b w:val="false"/>
          <w:bCs w:val="false"/>
          <w:color w:val="000000"/>
          <w:sz w:val="21"/>
          <w:szCs w:val="21"/>
          <w:u w:val="none"/>
        </w:rPr>
      </w:r>
    </w:p>
    <w:p>
      <w:pPr>
        <w:pStyle w:val="Tabelleninhalt"/>
        <w:rPr>
          <w:b/>
          <w:bCs/>
          <w:color w:val="003366"/>
          <w:sz w:val="26"/>
          <w:szCs w:val="26"/>
          <w:u w:val="single"/>
          <w:lang w:val="de-DE" w:eastAsia="en-US" w:bidi="ar-SA"/>
        </w:rPr>
      </w:pPr>
      <w:r>
        <w:rPr>
          <w:b/>
          <w:bCs/>
          <w:color w:val="003366"/>
          <w:sz w:val="26"/>
          <w:szCs w:val="26"/>
          <w:u w:val="single"/>
          <w:lang w:val="de-DE" w:eastAsia="en-US" w:bidi="ar-SA"/>
        </w:rPr>
        <w:t xml:space="preserve">Grundlegendes und Ablauf anlegen eines Kompressionsverbandes </w:t>
      </w:r>
    </w:p>
    <w:p>
      <w:pPr>
        <w:pStyle w:val="Normal"/>
        <w:rPr>
          <w:color w:val="003366"/>
          <w:sz w:val="26"/>
          <w:szCs w:val="26"/>
          <w:u w:val="single"/>
        </w:rPr>
      </w:pPr>
      <w:r>
        <w:rPr>
          <w:color w:val="003366"/>
          <w:sz w:val="26"/>
          <w:szCs w:val="26"/>
          <w:u w:val="single"/>
        </w:rPr>
        <w:t>Grundlegendes</w:t>
      </w:r>
    </w:p>
    <w:p>
      <w:pPr>
        <w:pStyle w:val="Tabelleninhalt"/>
        <w:numPr>
          <w:ilvl w:val="0"/>
          <w:numId w:val="21"/>
        </w:numPr>
        <w:rPr/>
      </w:pPr>
      <w:r>
        <w:rPr/>
        <w:t>das Anlegen des Kompressionsverbandes sollte morgens im Idealfall noch im Bett erfolgen</w:t>
      </w:r>
    </w:p>
    <w:p>
      <w:pPr>
        <w:pStyle w:val="Tabelleninhalt"/>
        <w:numPr>
          <w:ilvl w:val="0"/>
          <w:numId w:val="21"/>
        </w:numPr>
        <w:rPr/>
      </w:pPr>
      <w:r>
        <w:rPr/>
        <w:t>mindestens eine halbe Stunde die Beine hochlegen bevor man Kompremiert</w:t>
      </w:r>
    </w:p>
    <w:p>
      <w:pPr>
        <w:pStyle w:val="Tabelleninhalt"/>
        <w:numPr>
          <w:ilvl w:val="0"/>
          <w:numId w:val="21"/>
        </w:numPr>
        <w:rPr/>
      </w:pPr>
      <w:r>
        <w:rPr/>
        <w:t>Patient sollte Compliance aufweisen</w:t>
      </w:r>
    </w:p>
    <w:p>
      <w:pPr>
        <w:pStyle w:val="Tabelleninhalt"/>
        <w:numPr>
          <w:ilvl w:val="0"/>
          <w:numId w:val="21"/>
        </w:numPr>
        <w:rPr/>
      </w:pPr>
      <w:r>
        <w:rPr/>
        <w:t>Patient über die Schritte informieren und Ihn mit einbeziehen</w:t>
      </w:r>
    </w:p>
    <w:p>
      <w:pPr>
        <w:pStyle w:val="Tabelleninhalt"/>
        <w:numPr>
          <w:ilvl w:val="0"/>
          <w:numId w:val="21"/>
        </w:numPr>
        <w:rPr/>
      </w:pPr>
      <w:r>
        <w:rPr/>
        <w:t>vor der Kompression eine Hautpflege durchführen</w:t>
      </w:r>
    </w:p>
    <w:p>
      <w:pPr>
        <w:pStyle w:val="Tabelleninhalt"/>
        <w:numPr>
          <w:ilvl w:val="0"/>
          <w:numId w:val="21"/>
        </w:numPr>
        <w:rPr/>
      </w:pPr>
      <w:r>
        <w:rPr/>
        <w:t>Benötigte Produkte in Griffweite legen</w:t>
      </w:r>
    </w:p>
    <w:p>
      <w:pPr>
        <w:pStyle w:val="Tabelleninhalt"/>
        <w:numPr>
          <w:ilvl w:val="0"/>
          <w:numId w:val="21"/>
        </w:numPr>
        <w:rPr/>
      </w:pPr>
      <w:r>
        <w:rPr/>
        <w:t>je nach Größe und Umfang sind 8 oder 10cm Binden am besten geeignet</w:t>
      </w:r>
    </w:p>
    <w:p>
      <w:pPr>
        <w:pStyle w:val="Tabelleninhalt"/>
        <w:numPr>
          <w:ilvl w:val="0"/>
          <w:numId w:val="21"/>
        </w:numPr>
        <w:rPr/>
      </w:pPr>
      <w:r>
        <w:rPr/>
        <w:t>Mit eingebunden werden der Fußbereich ab dem Zehengrundgelenk und die Ferse</w:t>
      </w:r>
    </w:p>
    <w:p>
      <w:pPr>
        <w:pStyle w:val="Tabelleninhalt"/>
        <w:numPr>
          <w:ilvl w:val="0"/>
          <w:numId w:val="21"/>
        </w:numPr>
        <w:rPr/>
      </w:pPr>
      <w:r>
        <w:rPr/>
        <w:t>Der Druck, den der Verband ausübt, muss</w:t>
      </w:r>
      <w:r>
        <w:rPr>
          <w:color w:val="000000"/>
          <w:sz w:val="21"/>
          <w:szCs w:val="21"/>
        </w:rPr>
        <w:t xml:space="preserve"> im Fesselbereich am stärksten sein und </w:t>
      </w:r>
      <w:r>
        <w:rPr>
          <w:color w:val="000000"/>
          <w:sz w:val="21"/>
          <w:szCs w:val="21"/>
          <w:u w:val="none"/>
        </w:rPr>
        <w:t>sollte zum Knie hin abnehmen.</w:t>
      </w:r>
    </w:p>
    <w:p>
      <w:pPr>
        <w:pStyle w:val="Tabelleninhalt"/>
        <w:rPr/>
      </w:pPr>
      <w:r>
        <w:rPr>
          <w:rStyle w:val="Absatz-Standardschriftart"/>
          <w:b w:val="false"/>
          <w:bCs w:val="false"/>
          <w:color w:val="003366"/>
          <w:sz w:val="26"/>
          <w:szCs w:val="26"/>
          <w:u w:val="single"/>
        </w:rPr>
        <w:t>Ablauf</w:t>
      </w:r>
      <w:r>
        <w:rPr>
          <w:rStyle w:val="Absatz-Standardschriftart"/>
          <w:b/>
          <w:bCs/>
        </w:rPr>
        <w:t xml:space="preserve"> </w:t>
      </w:r>
      <w:r>
        <w:rPr>
          <w:rStyle w:val="Absatz-Standardschriftart"/>
          <w:b/>
          <w:bCs/>
          <w:color w:val="003366"/>
        </w:rPr>
        <w:t>(</w:t>
      </w:r>
      <w:r>
        <w:rPr>
          <w:color w:val="003366"/>
        </w:rPr>
        <w:t>modifiziert nach Pütter)</w:t>
      </w:r>
    </w:p>
    <w:p>
      <w:pPr>
        <w:pStyle w:val="Tabelleninhalt"/>
        <w:numPr>
          <w:ilvl w:val="0"/>
          <w:numId w:val="22"/>
        </w:numPr>
        <w:rPr/>
      </w:pPr>
      <w:r>
        <w:rPr/>
        <w:t>Schlauchverband dienst als Hautschutz und sollte doppelt so lang wie vom Knie bis Zehen sein</w:t>
      </w:r>
    </w:p>
    <w:p>
      <w:pPr>
        <w:pStyle w:val="Tabelleninhalt"/>
        <w:numPr>
          <w:ilvl w:val="0"/>
          <w:numId w:val="22"/>
        </w:numPr>
        <w:rPr/>
      </w:pPr>
      <w:r>
        <w:rPr/>
        <w:t>Schlauchverband bis Knie, der Rest der unten ist, dem Patient (soweit Mitarbeit möglich) in die Hand geben, dieses kann er zu sich ziehen um besser die 90° Stellung vom Fuß zu erreichen</w:t>
      </w:r>
    </w:p>
    <w:p>
      <w:pPr>
        <w:pStyle w:val="Tabelleninhalt"/>
        <w:numPr>
          <w:ilvl w:val="0"/>
          <w:numId w:val="22"/>
        </w:numPr>
        <w:rPr/>
      </w:pPr>
      <w:r>
        <w:rPr/>
        <w:t>Unterwickelung mit Watte oder Synthetischer Watte, die Anlage beginnt am Fußrücken ggf. starke Unebenheiten extra ausgleichen</w:t>
      </w:r>
    </w:p>
    <w:p>
      <w:pPr>
        <w:pStyle w:val="Tabelleninhalt"/>
        <w:numPr>
          <w:ilvl w:val="0"/>
          <w:numId w:val="22"/>
        </w:numPr>
        <w:rPr/>
      </w:pPr>
      <w:r>
        <w:rPr/>
        <w:t>Die Anlage der Kurzzugbinde beginnt am Fußrücken in Höhe der</w:t>
      </w:r>
    </w:p>
    <w:p>
      <w:pPr>
        <w:pStyle w:val="Tabelleninhalt"/>
        <w:numPr>
          <w:ilvl w:val="0"/>
          <w:numId w:val="22"/>
        </w:numPr>
        <w:rPr/>
      </w:pPr>
      <w:r>
        <w:rPr/>
        <w:t>Zehengrundgelenke Nach zwei fixierenden Touren Binden mit stärkerem Zug über den Fußrücken führen und die Ferse in Achtertouren miteinschließen. Mit der Überlappung bis unter Knie spiralförmig wickeln. (Der Druck wird von unten nach oben weniger)</w:t>
      </w:r>
    </w:p>
    <w:p>
      <w:pPr>
        <w:pStyle w:val="Tabelleninhalt"/>
        <w:numPr>
          <w:ilvl w:val="0"/>
          <w:numId w:val="22"/>
        </w:numPr>
        <w:rPr/>
      </w:pPr>
      <w:r>
        <w:rPr/>
        <w:t>die zweite Binde entgegengesetzt ab Fersenbereich bis unter Knie anlegen</w:t>
      </w:r>
    </w:p>
    <w:p>
      <w:pPr>
        <w:pStyle w:val="Tabelleninhalt"/>
        <w:numPr>
          <w:ilvl w:val="0"/>
          <w:numId w:val="22"/>
        </w:numPr>
        <w:rPr/>
      </w:pPr>
      <w:r>
        <w:rPr/>
        <w:t>das Stück Schlauchverband am Knie, nach unten über die Kompression ziehen (ca 5-10cm)</w:t>
      </w:r>
    </w:p>
    <w:p>
      <w:pPr>
        <w:pStyle w:val="Tabelleninhalt"/>
        <w:numPr>
          <w:ilvl w:val="0"/>
          <w:numId w:val="22"/>
        </w:numPr>
        <w:rPr/>
      </w:pPr>
      <w:r>
        <w:rPr/>
        <w:t>Das Stück was Patient in der Hand hält, wird von unten nach oben über die Kompression geführt und Fixiert, dies schützt den Verband vor evtl. einrollen beim Anziehen einer Hose z.B. Die Kompression wird ab und an Überprüft, evtl. Verfärbung der Zehen, sowie erfragen ob es dem Patient angenehm ist.</w:t>
      </w:r>
    </w:p>
    <w:p>
      <w:pPr>
        <w:pStyle w:val="Tabelleninhalt"/>
        <w:spacing w:before="400" w:after="200"/>
        <w:rPr/>
      </w:pPr>
      <w:r>
        <w:rPr>
          <w:rStyle w:val="Absatz-Standardschriftart"/>
          <w:b/>
          <w:bCs/>
          <w:i/>
          <w:color w:val="000000"/>
          <w:sz w:val="21"/>
          <w:szCs w:val="21"/>
        </w:rPr>
        <w:t>Info</w:t>
      </w:r>
      <w:r>
        <w:rPr>
          <w:i/>
          <w:color w:val="000000"/>
          <w:sz w:val="21"/>
          <w:szCs w:val="21"/>
        </w:rPr>
        <w:t>: die meisten gerade älteren Patienten empfinden Kompression als unangenehm und fast immer zu fest. Hier sollten Sie darüber aufgeklärt werden wie wichtig ein Kompressionsverband ist und das der Druck aufgrund des abnehmenden Ödems im Laufe des Tages abnimmt.</w:t>
      </w:r>
    </w:p>
    <w:p>
      <w:pPr>
        <w:pStyle w:val="Normal"/>
        <w:spacing w:before="400" w:after="200"/>
        <w:rPr>
          <w:i/>
          <w:color w:val="000000"/>
          <w:sz w:val="21"/>
          <w:szCs w:val="21"/>
        </w:rPr>
      </w:pPr>
      <w:r>
        <w:rPr>
          <w:rStyle w:val="Absatz-Standardschriftart"/>
          <w:i/>
          <w:color w:val="000000"/>
          <w:sz w:val="16"/>
          <w:szCs w:val="16"/>
        </w:rPr>
        <w:t>Quellen: AWMF, Firma Hartmann, Firma Medi</w:t>
      </w:r>
    </w:p>
    <w:tbl>
      <w:tblPr>
        <w:tblW w:w="9633"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211"/>
        <w:gridCol w:w="3211"/>
        <w:gridCol w:w="3211"/>
      </w:tblGrid>
      <w:tr>
        <w:trPr/>
        <w:tc>
          <w:tcPr>
            <w:tcW w:w="3211" w:type="dxa"/>
            <w:tcBorders/>
            <w:shd w:fill="FAFAFA" w:val="clear"/>
          </w:tcPr>
          <w:p>
            <w:pPr>
              <w:pStyle w:val="Normal"/>
              <w:widowControl/>
              <w:bidi w:val="0"/>
              <w:spacing w:lineRule="auto" w:line="276" w:before="0" w:after="200"/>
              <w:jc w:val="start"/>
              <w:rPr/>
            </w:pPr>
            <w:r>
              <w:rPr>
                <w:b/>
                <w:sz w:val="17"/>
              </w:rPr>
              <w:t>Erstellt / bearbeitet</w:t>
            </w:r>
          </w:p>
        </w:tc>
        <w:tc>
          <w:tcPr>
            <w:tcW w:w="3211" w:type="dxa"/>
            <w:tcBorders/>
            <w:shd w:fill="FAFAFA" w:val="clear"/>
          </w:tcPr>
          <w:p>
            <w:pPr>
              <w:pStyle w:val="Normal"/>
              <w:widowControl/>
              <w:bidi w:val="0"/>
              <w:spacing w:lineRule="auto" w:line="276" w:before="0" w:after="200"/>
              <w:jc w:val="start"/>
              <w:rPr/>
            </w:pPr>
            <w:r>
              <w:rPr>
                <w:b/>
                <w:sz w:val="17"/>
              </w:rPr>
              <w:t>Geprüft</w:t>
            </w:r>
          </w:p>
        </w:tc>
        <w:tc>
          <w:tcPr>
            <w:tcW w:w="3211" w:type="dxa"/>
            <w:tcBorders/>
            <w:shd w:fill="FAFAFA" w:val="clear"/>
          </w:tcPr>
          <w:p>
            <w:pPr>
              <w:pStyle w:val="Normal"/>
              <w:widowControl/>
              <w:bidi w:val="0"/>
              <w:spacing w:lineRule="auto" w:line="276" w:before="0" w:after="200"/>
              <w:jc w:val="start"/>
              <w:rPr/>
            </w:pPr>
            <w:r>
              <w:rPr>
                <w:b/>
                <w:sz w:val="17"/>
              </w:rPr>
              <w:t>Freigegeben</w:t>
            </w:r>
          </w:p>
        </w:tc>
      </w:tr>
      <w:tr>
        <w:trPr/>
        <w:tc>
          <w:tcPr>
            <w:tcW w:w="3211" w:type="dxa"/>
            <w:tcBorders/>
            <w:shd w:fill="FAFAFA" w:val="clear"/>
          </w:tcPr>
          <w:p>
            <w:pPr>
              <w:pStyle w:val="Normal"/>
              <w:widowControl/>
              <w:bidi w:val="0"/>
              <w:spacing w:lineRule="auto" w:line="276" w:before="0" w:after="200"/>
              <w:jc w:val="start"/>
              <w:rPr/>
            </w:pPr>
            <w:r>
              <w:rPr>
                <w:sz w:val="16"/>
              </w:rPr>
              <w:br/>
              <w:t>________________________</w:t>
              <w:br/>
              <w:t>Datum / Unterschrift</w:t>
            </w:r>
          </w:p>
        </w:tc>
        <w:tc>
          <w:tcPr>
            <w:tcW w:w="3211" w:type="dxa"/>
            <w:tcBorders/>
            <w:shd w:fill="FAFAFA" w:val="clear"/>
          </w:tcPr>
          <w:p>
            <w:pPr>
              <w:pStyle w:val="Normal"/>
              <w:widowControl/>
              <w:bidi w:val="0"/>
              <w:spacing w:lineRule="auto" w:line="276" w:before="0" w:after="200"/>
              <w:jc w:val="start"/>
              <w:rPr/>
            </w:pPr>
            <w:r>
              <w:rPr>
                <w:sz w:val="16"/>
              </w:rPr>
              <w:br/>
              <w:t>________________________</w:t>
              <w:br/>
              <w:t>Datum / Unterschrift</w:t>
            </w:r>
          </w:p>
        </w:tc>
        <w:tc>
          <w:tcPr>
            <w:tcW w:w="3211" w:type="dxa"/>
            <w:tcBorders/>
            <w:shd w:fill="FAFAFA" w:val="clear"/>
          </w:tcPr>
          <w:p>
            <w:pPr>
              <w:pStyle w:val="Normal"/>
              <w:widowControl/>
              <w:bidi w:val="0"/>
              <w:spacing w:lineRule="auto" w:line="276" w:before="0" w:after="200"/>
              <w:jc w:val="start"/>
              <w:rPr/>
            </w:pPr>
            <w:r>
              <w:rPr>
                <w:sz w:val="16"/>
              </w:rPr>
              <w:br/>
              <w:t>________________________</w:t>
              <w:br/>
              <w:t>Datum / Unterschrift</w:t>
            </w:r>
          </w:p>
        </w:tc>
      </w:tr>
    </w:tbl>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304" w:right="1304" w:gutter="0" w:header="720" w:top="1247"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Aptos">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OpenSymbol">
    <w:altName w:val="Arial Unicode MS"/>
    <w:charset w:val="00" w:characterSet="windows-1252"/>
    <w:family w:val="auto"/>
    <w:pitch w:val="default"/>
  </w:font>
  <w:font w:name="OpenSymbol">
    <w:altName w:val="Arial Unicode MS"/>
    <w:charset w:val="02"/>
    <w:family w:val="auto"/>
    <w:pitch w:val="default"/>
  </w:font>
  <w:font w:name="Liberation Sans">
    <w:altName w:val="Arial"/>
    <w:charset w:val="00" w:characterSet="windows-1252"/>
    <w:family w:val="swiss"/>
    <w:pitch w:val="variable"/>
  </w:font>
  <w:font w:name="Calibri">
    <w:charset w:val="01"/>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color w:val="505050"/>
        <w:sz w:val="16"/>
      </w:rPr>
      <w:t xml:space="preserve">Copyright © Wundpfleger Peter  |  QM-Dokument  |  Version: ____  |  Stand: ____  |  Seite </w:t>
    </w:r>
    <w:r>
      <w:rPr/>
      <w:fldChar w:fldCharType="begin"/>
    </w:r>
    <w:r>
      <w:rPr/>
      <w:instrText xml:space="preserve"> PAGE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color w:val="505050"/>
        <w:sz w:val="16"/>
      </w:rPr>
      <w:t xml:space="preserve">Copyright © Wundpfleger Peter  |  QM-Dokument  |  Version: ____  |  Stand: ____  |  Seite </w:t>
    </w:r>
    <w:r>
      <w:rPr/>
      <w:fldChar w:fldCharType="begin"/>
    </w:r>
    <w:r>
      <w:rPr/>
      <w:instrText xml:space="preserve"> PAGE </w:instrText>
    </w:r>
    <w:r>
      <w:rPr/>
      <w:fldChar w:fldCharType="separate"/>
    </w:r>
    <w:r>
      <w:rPr/>
      <w:t>3</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5" w:color="C9CDCD"/>
      </w:pBdr>
      <w:jc w:val="start"/>
      <w:rPr/>
    </w:pPr>
    <w:r>
      <w:rPr>
        <w:b/>
        <w:color w:val="000000"/>
        <w:sz w:val="22"/>
      </w:rPr>
      <w:t>WUNDPFLEGER PETER</w:t>
    </w:r>
    <w:r>
      <w:rPr>
        <w:sz w:val="18"/>
      </w:rPr>
      <w:t xml:space="preserve">   |   QM-Dokument</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5" w:color="C9CDCD"/>
      </w:pBdr>
      <w:jc w:val="start"/>
      <w:rPr/>
    </w:pPr>
    <w:r>
      <w:rPr>
        <w:b/>
        <w:color w:val="000000"/>
        <w:sz w:val="22"/>
      </w:rPr>
      <w:t>WUNDPFLEGER PETER</w:t>
    </w:r>
    <w:r>
      <w:rPr>
        <w:sz w:val="18"/>
      </w:rPr>
      <w:t xml:space="preserve">   |   QM-Dokument</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bullet"/>
      <w:lvlText w:val=""/>
      <w:lvlJc w:val="start"/>
      <w:pPr>
        <w:tabs>
          <w:tab w:val="num" w:pos="0"/>
        </w:tabs>
        <w:ind w:start="720" w:hanging="360"/>
      </w:pPr>
      <w:rPr>
        <w:rFonts w:ascii="Symbol" w:hAnsi="Symbol" w:cs="Symbol" w:hint="default"/>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8">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9">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0">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3">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5">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6">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7">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8">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9">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0">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200"/>
      <w:jc w:val="start"/>
    </w:pPr>
    <w:rPr>
      <w:rFonts w:ascii="Aptos" w:hAnsi="Aptos" w:eastAsia="ＭＳ 明朝" w:cs=""/>
      <w:color w:val="000000"/>
      <w:kern w:val="0"/>
      <w:sz w:val="21"/>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val="000000"/>
      <w:sz w:val="30"/>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val="000000"/>
      <w:sz w:val="24"/>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val="000000"/>
      <w:sz w:val="22"/>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Absatz-Standardschriftart">
    <w:name w:val="Absatz-Standardschriftart"/>
    <w:qFormat/>
    <w:rPr/>
  </w:style>
  <w:style w:type="character" w:styleId="WWCharLFO1LVL1">
    <w:name w:val="WW_CharLFO1LVL1"/>
    <w:qFormat/>
    <w:rPr>
      <w:rFonts w:ascii="OpenSymbol" w:hAnsi="OpenSymbol" w:eastAsia="OpenSymbol" w:cs="OpenSymbol"/>
    </w:rPr>
  </w:style>
  <w:style w:type="character" w:styleId="WWCharLFO1LVL2">
    <w:name w:val="WW_CharLFO1LVL2"/>
    <w:qFormat/>
    <w:rPr>
      <w:rFonts w:ascii="OpenSymbol" w:hAnsi="OpenSymbol" w:eastAsia="OpenSymbol" w:cs="OpenSymbol"/>
    </w:rPr>
  </w:style>
  <w:style w:type="character" w:styleId="WWCharLFO1LVL3">
    <w:name w:val="WW_CharLFO1LVL3"/>
    <w:qFormat/>
    <w:rPr>
      <w:rFonts w:ascii="OpenSymbol" w:hAnsi="OpenSymbol" w:eastAsia="OpenSymbol" w:cs="OpenSymbol"/>
    </w:rPr>
  </w:style>
  <w:style w:type="character" w:styleId="WWCharLFO1LVL4">
    <w:name w:val="WW_CharLFO1LVL4"/>
    <w:qFormat/>
    <w:rPr>
      <w:rFonts w:ascii="OpenSymbol" w:hAnsi="OpenSymbol" w:eastAsia="OpenSymbol" w:cs="OpenSymbol"/>
    </w:rPr>
  </w:style>
  <w:style w:type="character" w:styleId="WWCharLFO1LVL5">
    <w:name w:val="WW_CharLFO1LVL5"/>
    <w:qFormat/>
    <w:rPr>
      <w:rFonts w:ascii="OpenSymbol" w:hAnsi="OpenSymbol" w:eastAsia="OpenSymbol" w:cs="OpenSymbol"/>
    </w:rPr>
  </w:style>
  <w:style w:type="character" w:styleId="WWCharLFO1LVL6">
    <w:name w:val="WW_CharLFO1LVL6"/>
    <w:qFormat/>
    <w:rPr>
      <w:rFonts w:ascii="OpenSymbol" w:hAnsi="OpenSymbol" w:eastAsia="OpenSymbol" w:cs="OpenSymbol"/>
    </w:rPr>
  </w:style>
  <w:style w:type="character" w:styleId="WWCharLFO1LVL7">
    <w:name w:val="WW_CharLFO1LVL7"/>
    <w:qFormat/>
    <w:rPr>
      <w:rFonts w:ascii="OpenSymbol" w:hAnsi="OpenSymbol" w:eastAsia="OpenSymbol" w:cs="OpenSymbol"/>
    </w:rPr>
  </w:style>
  <w:style w:type="character" w:styleId="WWCharLFO1LVL8">
    <w:name w:val="WW_CharLFO1LVL8"/>
    <w:qFormat/>
    <w:rPr>
      <w:rFonts w:ascii="OpenSymbol" w:hAnsi="OpenSymbol" w:eastAsia="OpenSymbol" w:cs="OpenSymbol"/>
    </w:rPr>
  </w:style>
  <w:style w:type="character" w:styleId="WWCharLFO1LVL9">
    <w:name w:val="WW_CharLFO1LVL9"/>
    <w:qFormat/>
    <w:rPr>
      <w:rFonts w:ascii="OpenSymbol" w:hAnsi="OpenSymbol" w:eastAsia="OpenSymbol" w:cs="OpenSymbol"/>
    </w:rPr>
  </w:style>
  <w:style w:type="character" w:styleId="Aufzhlungszeichen">
    <w:name w:val="Aufzählungszeichen"/>
    <w:qFormat/>
    <w:rPr>
      <w:rFonts w:ascii="OpenSymbol" w:hAnsi="OpenSymbol" w:eastAsia="OpenSymbol" w:cs="OpenSymbol"/>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Verzeichnis">
    <w:name w:val="Verzeichnis"/>
    <w:basedOn w:val="Normal"/>
    <w:qFormat/>
    <w:pPr>
      <w:suppressLineNumbers/>
    </w:pPr>
    <w:rPr>
      <w:rFonts w:cs="Arial"/>
    </w:rPr>
  </w:style>
  <w:style w:type="paragraph" w:styleId="berschriftuser">
    <w:name w:val="Überschrift (user)"/>
    <w:basedOn w:val="Normal"/>
    <w:next w:val="BodyText"/>
    <w:qFormat/>
    <w:pPr>
      <w:keepNext w:val="true"/>
      <w:spacing w:before="240" w:after="120"/>
    </w:pPr>
    <w:rPr>
      <w:rFonts w:ascii="Liberation Sans" w:hAnsi="Liberation Sans" w:eastAsia="Microsoft YaHei" w:cs="Arial"/>
      <w:sz w:val="28"/>
      <w:szCs w:val="28"/>
    </w:rPr>
  </w:style>
  <w:style w:type="paragraph" w:styleId="Verzeichnisuser">
    <w:name w:val="Verzeichnis (user)"/>
    <w:basedOn w:val="Normal"/>
    <w:qFormat/>
    <w:pPr>
      <w:suppressLineNumbers/>
    </w:pPr>
    <w:rPr>
      <w:rFonts w:cs="Arial"/>
    </w:rPr>
  </w:style>
  <w:style w:type="paragraph" w:styleId="Kopf-Fuzeile">
    <w:name w:val="Kopf-/Fußzeile"/>
    <w:basedOn w:val="Normal"/>
    <w:qFormat/>
    <w:pPr/>
    <w:rPr/>
  </w:style>
  <w:style w:type="paragraph" w:styleId="Kopf-Fuzeileuser">
    <w:name w:val="Kopf-/Fußzeile (us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b/>
      <w:color w:val="000000"/>
      <w:spacing w:val="5"/>
      <w:kern w:val="2"/>
      <w:sz w:val="44"/>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berschrift"/>
    <w:pPr/>
    <w:rPr/>
  </w:style>
  <w:style w:type="paragraph" w:styleId="TOCHeading">
    <w:name w:val="TOC Heading"/>
    <w:basedOn w:val="Heading1"/>
    <w:next w:val="Normal"/>
    <w:uiPriority w:val="39"/>
    <w:semiHidden/>
    <w:unhideWhenUsed/>
    <w:qFormat/>
    <w:rsid w:val="00fc693f"/>
    <w:pPr>
      <w:outlineLvl w:val="9"/>
    </w:pPr>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suppressLineNumbers/>
      <w:jc w:val="center"/>
    </w:pPr>
    <w:rPr>
      <w:b/>
      <w:bCs/>
    </w:rPr>
  </w:style>
  <w:style w:type="numbering" w:styleId="KeineListe" w:default="1">
    <w:name w:val="Keine Liste"/>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Application>LibreOffice/26.2.6.3$Windows_X86_64 LibreOffice_project/8221e31b3ac356a1623c672912a3d2b492f7e3d1</Application>
  <AppVersion>15.0000</AppVersion>
  <Pages>4</Pages>
  <Words>875</Words>
  <Characters>5286</Characters>
  <CharactersWithSpaces>6048</CharactersWithSpaces>
  <Paragraphs>103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de-DE</dc:language>
  <cp:lastModifiedBy>Peter Churs</cp:lastModifiedBy>
  <dcterms:modified xsi:type="dcterms:W3CDTF">2026-10-03T17:32:15Z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