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7" w:before="0" w:after="40"/>
        <w:rPr>
          <w:color w:val="000000"/>
        </w:rPr>
      </w:pPr>
      <w:r>
        <w:rPr>
          <w:b/>
          <w:i w:val="false"/>
          <w:color w:val="000000"/>
          <w:sz w:val="18"/>
        </w:rPr>
        <w:t>KLINISCHER VERFAHRENSSTANDARD</w:t>
      </w:r>
    </w:p>
    <w:p>
      <w:pPr>
        <w:pStyle w:val="Normal"/>
        <w:spacing w:lineRule="auto" w:line="247" w:before="0" w:after="100"/>
        <w:rPr>
          <w:color w:val="000000"/>
        </w:rPr>
      </w:pPr>
      <w:r>
        <w:rPr>
          <w:b/>
          <w:i w:val="false"/>
          <w:color w:val="000000"/>
          <w:sz w:val="36"/>
        </w:rPr>
        <w:t>Prävention und Therapie der Inkontinenz-assoziierten Dermatitis (IAD)</w:t>
      </w:r>
    </w:p>
    <w:p>
      <w:pPr>
        <w:pStyle w:val="Normal"/>
        <w:spacing w:lineRule="auto" w:line="247" w:before="0" w:after="120"/>
        <w:rPr>
          <w:color w:val="000000"/>
        </w:rPr>
      </w:pPr>
      <w:r>
        <w:rPr>
          <w:b w:val="false"/>
          <w:i w:val="false"/>
          <w:color w:val="000000"/>
          <w:sz w:val="18"/>
        </w:rPr>
        <w:t>Geltungsbereich: Alle bettenführenden Stationen und Funktionsbereiche  |  Zielgruppe: Pflegefachkräfte</w:t>
      </w:r>
    </w:p>
    <w:tbl>
      <w:tblPr>
        <w:tblStyle w:val="TableGrid"/>
        <w:tblW w:w="9992" w:type="dxa"/>
        <w:jc w:val="center"/>
        <w:tblInd w:w="0" w:type="dxa"/>
        <w:tblLayout w:type="fixed"/>
        <w:tblCellMar>
          <w:top w:w="90" w:type="dxa"/>
          <w:start w:w="110" w:type="dxa"/>
          <w:bottom w:w="90" w:type="dxa"/>
          <w:end w:w="110" w:type="dxa"/>
        </w:tblCellMar>
        <w:tblLook w:val="04a0" w:firstRow="1" w:noVBand="1" w:lastRow="0" w:firstColumn="1" w:lastColumn="0" w:noHBand="0"/>
      </w:tblPr>
      <w:tblGrid>
        <w:gridCol w:w="2498"/>
        <w:gridCol w:w="2498"/>
        <w:gridCol w:w="2498"/>
        <w:gridCol w:w="2498"/>
      </w:tblGrid>
      <w:tr>
        <w:trPr>
          <w:tblHeader w:val="true"/>
        </w:trPr>
        <w:tc>
          <w:tcPr>
            <w:tcW w:w="2498" w:type="dxa"/>
            <w:tcBorders/>
            <w:shd w:fill="FFFFFF" w:val="clear"/>
            <w:vAlign w:val="center"/>
          </w:tcPr>
          <w:p>
            <w:pPr>
              <w:pStyle w:val="Normal"/>
              <w:spacing w:before="0" w:after="0"/>
              <w:rPr>
                <w:color w:val="000000"/>
              </w:rPr>
            </w:pPr>
            <w:r>
              <w:rPr>
                <w:b/>
                <w:color w:val="000000"/>
                <w:sz w:val="18"/>
              </w:rPr>
              <w:t>Dokument-Nr.</w:t>
            </w:r>
          </w:p>
        </w:tc>
        <w:tc>
          <w:tcPr>
            <w:tcW w:w="2498" w:type="dxa"/>
            <w:tcBorders/>
            <w:shd w:fill="FFFFFF" w:val="clear"/>
            <w:vAlign w:val="center"/>
          </w:tcPr>
          <w:p>
            <w:pPr>
              <w:pStyle w:val="Normal"/>
              <w:spacing w:before="0" w:after="0"/>
              <w:rPr>
                <w:color w:val="000000"/>
              </w:rPr>
            </w:pPr>
            <w:r>
              <w:rPr>
                <w:b/>
                <w:color w:val="000000"/>
                <w:sz w:val="18"/>
              </w:rPr>
              <w:t>Version</w:t>
            </w:r>
          </w:p>
        </w:tc>
        <w:tc>
          <w:tcPr>
            <w:tcW w:w="2498" w:type="dxa"/>
            <w:tcBorders/>
            <w:shd w:fill="FFFFFF" w:val="clear"/>
            <w:vAlign w:val="center"/>
          </w:tcPr>
          <w:p>
            <w:pPr>
              <w:pStyle w:val="Normal"/>
              <w:spacing w:before="0" w:after="0"/>
              <w:rPr>
                <w:color w:val="000000"/>
              </w:rPr>
            </w:pPr>
            <w:r>
              <w:rPr>
                <w:b/>
                <w:color w:val="000000"/>
                <w:sz w:val="18"/>
              </w:rPr>
              <w:t>Erstellt / geprüft</w:t>
            </w:r>
          </w:p>
        </w:tc>
        <w:tc>
          <w:tcPr>
            <w:tcW w:w="2498" w:type="dxa"/>
            <w:tcBorders/>
            <w:shd w:fill="FFFFFF" w:val="clear"/>
            <w:vAlign w:val="center"/>
          </w:tcPr>
          <w:p>
            <w:pPr>
              <w:pStyle w:val="Normal"/>
              <w:spacing w:before="0" w:after="0"/>
              <w:rPr>
                <w:color w:val="000000"/>
              </w:rPr>
            </w:pPr>
            <w:r>
              <w:rPr>
                <w:b/>
                <w:color w:val="000000"/>
                <w:sz w:val="18"/>
              </w:rPr>
              <w:t>Freigabe</w:t>
            </w:r>
          </w:p>
        </w:tc>
      </w:tr>
      <w:tr>
        <w:trPr/>
        <w:tc>
          <w:tcPr>
            <w:tcW w:w="2498" w:type="dxa"/>
            <w:tcBorders/>
            <w:vAlign w:val="center"/>
          </w:tcPr>
          <w:p>
            <w:pPr>
              <w:pStyle w:val="Normal"/>
              <w:spacing w:before="0" w:after="0"/>
              <w:rPr>
                <w:color w:val="000000"/>
              </w:rPr>
            </w:pPr>
            <w:r>
              <w:rPr>
                <w:b w:val="false"/>
                <w:color w:val="000000"/>
                <w:sz w:val="17"/>
              </w:rPr>
              <w:t>QM-WP-IAD-001</w:t>
            </w:r>
          </w:p>
        </w:tc>
        <w:tc>
          <w:tcPr>
            <w:tcW w:w="2498" w:type="dxa"/>
            <w:tcBorders/>
            <w:vAlign w:val="center"/>
          </w:tcPr>
          <w:p>
            <w:pPr>
              <w:pStyle w:val="Normal"/>
              <w:spacing w:before="0" w:after="0"/>
              <w:rPr>
                <w:color w:val="000000"/>
              </w:rPr>
            </w:pPr>
            <w:r>
              <w:rPr>
                <w:b w:val="false"/>
                <w:color w:val="000000"/>
                <w:sz w:val="17"/>
              </w:rPr>
              <w:t>1.0</w:t>
            </w:r>
          </w:p>
        </w:tc>
        <w:tc>
          <w:tcPr>
            <w:tcW w:w="2498" w:type="dxa"/>
            <w:tcBorders/>
            <w:vAlign w:val="center"/>
          </w:tcPr>
          <w:p>
            <w:pPr>
              <w:pStyle w:val="Normal"/>
              <w:spacing w:before="0" w:after="0"/>
              <w:rPr>
                <w:color w:val="000000"/>
              </w:rPr>
            </w:pPr>
            <w:r>
              <w:rPr>
                <w:b w:val="false"/>
                <w:color w:val="000000"/>
                <w:sz w:val="17"/>
              </w:rPr>
              <w:t>Wundmanagement / Qualitätsmanagement</w:t>
            </w:r>
          </w:p>
        </w:tc>
        <w:tc>
          <w:tcPr>
            <w:tcW w:w="2498" w:type="dxa"/>
            <w:tcBorders/>
            <w:vAlign w:val="center"/>
          </w:tcPr>
          <w:p>
            <w:pPr>
              <w:pStyle w:val="Normal"/>
              <w:spacing w:before="0" w:after="0"/>
              <w:rPr>
                <w:color w:val="000000"/>
              </w:rPr>
            </w:pPr>
            <w:r>
              <w:rPr>
                <w:b w:val="false"/>
                <w:color w:val="000000"/>
                <w:sz w:val="17"/>
              </w:rPr>
              <w:t>Pflegedirektion</w:t>
            </w:r>
          </w:p>
        </w:tc>
      </w:tr>
    </w:tbl>
    <w:p>
      <w:pPr>
        <w:pStyle w:val="Normal"/>
        <w:spacing w:before="0" w:after="20"/>
        <w:rPr>
          <w:color w:val="000000"/>
        </w:rPr>
      </w:pPr>
      <w:r>
        <w:rPr>
          <w:color w:val="000000"/>
        </w:rPr>
      </w:r>
    </w:p>
    <w:p>
      <w:pPr>
        <w:pStyle w:val="Normal"/>
        <w:keepNext w:val="true"/>
        <w:spacing w:before="140" w:after="60"/>
        <w:rPr>
          <w:color w:val="000000"/>
        </w:rPr>
      </w:pPr>
      <w:r>
        <w:rPr>
          <w:b/>
          <w:color w:val="000000"/>
          <w:sz w:val="24"/>
        </w:rPr>
        <w:t>1. Zielsetzung und Indikation</w:t>
      </w:r>
    </w:p>
    <w:p>
      <w:pPr>
        <w:pStyle w:val="Normal"/>
        <w:spacing w:lineRule="auto" w:line="247" w:before="0" w:after="60"/>
        <w:rPr>
          <w:color w:val="000000"/>
        </w:rPr>
      </w:pPr>
      <w:r>
        <w:rPr>
          <w:b w:val="false"/>
          <w:i w:val="false"/>
          <w:color w:val="000000"/>
          <w:sz w:val="18"/>
        </w:rPr>
        <w:t>Dieser Standard beschreibt die Prävention und pflegerische Versorgung der Inkontinenz-assoziierten Dermatitis (IAD) bei Harn- und/oder Stuhlinkontinenz. Ziel ist, die epidermale Barrierefunktion zu erhalten oder wiederherzustellen, das IAD-Risiko zu senken und bestehende Hautschäden strukturiert zu versorgen. Die Hautbeurteilung soll zugleich Hinweise für die Abgrenzung zu einem Dekubitus liefern; sie ersetzt keine klinische Gesamteinschätzung.</w:t>
      </w:r>
    </w:p>
    <w:p>
      <w:pPr>
        <w:pStyle w:val="Normal"/>
        <w:keepNext w:val="true"/>
        <w:spacing w:before="140" w:after="60"/>
        <w:rPr>
          <w:color w:val="000000"/>
        </w:rPr>
      </w:pPr>
      <w:r>
        <w:rPr>
          <w:b/>
          <w:color w:val="000000"/>
          <w:sz w:val="24"/>
        </w:rPr>
        <w:t>2. Risikoeinschätzung und Hautinspektion</w:t>
      </w:r>
    </w:p>
    <w:p>
      <w:pPr>
        <w:pStyle w:val="ListBullet"/>
        <w:numPr>
          <w:ilvl w:val="0"/>
          <w:numId w:val="1"/>
        </w:numPr>
        <w:spacing w:lineRule="auto" w:line="240" w:before="0" w:after="20"/>
        <w:ind w:hanging="173" w:start="288"/>
        <w:contextualSpacing/>
        <w:rPr>
          <w:color w:val="000000"/>
        </w:rPr>
      </w:pPr>
      <w:r>
        <w:rPr>
          <w:color w:val="000000"/>
          <w:sz w:val="18"/>
        </w:rPr>
        <w:t>Bei bekannter oder neu aufgetretener Inkontinenz schätzt die Pflegefachkraft das IAD-Risiko im Rahmen der strukturierten Informationssammlung (SIS) beziehungsweise des Aufnahmeassessments ein.</w:t>
      </w:r>
    </w:p>
    <w:p>
      <w:pPr>
        <w:pStyle w:val="ListBullet"/>
        <w:numPr>
          <w:ilvl w:val="0"/>
          <w:numId w:val="1"/>
        </w:numPr>
        <w:spacing w:lineRule="auto" w:line="240" w:before="0" w:after="20"/>
        <w:ind w:hanging="173" w:start="288"/>
        <w:contextualSpacing/>
        <w:rPr>
          <w:color w:val="000000"/>
        </w:rPr>
      </w:pPr>
      <w:r>
        <w:rPr>
          <w:color w:val="000000"/>
          <w:sz w:val="18"/>
        </w:rPr>
        <w:t>Bei gefährdeten Personen werden Perineum, Perianalbereich, Gesäß und Oberschenkelinnenseiten mindestens einmal täglich sowie nach jedem unwillkürlichen Stuhl- oder Urinverlust visuell inspiziert.</w:t>
      </w:r>
    </w:p>
    <w:p>
      <w:pPr>
        <w:pStyle w:val="ListBullet"/>
        <w:numPr>
          <w:ilvl w:val="0"/>
          <w:numId w:val="1"/>
        </w:numPr>
        <w:spacing w:lineRule="auto" w:line="240" w:before="0" w:after="20"/>
        <w:ind w:hanging="173" w:start="288"/>
        <w:contextualSpacing/>
        <w:rPr>
          <w:color w:val="000000"/>
        </w:rPr>
      </w:pPr>
      <w:r>
        <w:rPr>
          <w:color w:val="000000"/>
          <w:sz w:val="18"/>
        </w:rPr>
        <w:t>Hautzustand, betroffene Areale, Beschwerden und Veränderungen werden nachvollziehbar dokumentiert.</w:t>
      </w:r>
    </w:p>
    <w:p>
      <w:pPr>
        <w:pStyle w:val="Normal"/>
        <w:keepNext w:val="true"/>
        <w:spacing w:before="140" w:after="60"/>
        <w:rPr>
          <w:color w:val="000000"/>
        </w:rPr>
      </w:pPr>
      <w:r>
        <w:rPr>
          <w:b/>
          <w:color w:val="000000"/>
          <w:sz w:val="24"/>
        </w:rPr>
        <w:t>3. Schweregrade der IAD</w:t>
      </w:r>
    </w:p>
    <w:tbl>
      <w:tblPr>
        <w:tblStyle w:val="TableGrid"/>
        <w:tblW w:w="9993" w:type="dxa"/>
        <w:jc w:val="center"/>
        <w:tblInd w:w="0" w:type="dxa"/>
        <w:tblLayout w:type="fixed"/>
        <w:tblCellMar>
          <w:top w:w="90" w:type="dxa"/>
          <w:start w:w="110" w:type="dxa"/>
          <w:bottom w:w="90" w:type="dxa"/>
          <w:end w:w="110" w:type="dxa"/>
        </w:tblCellMar>
        <w:tblLook w:val="04a0" w:firstRow="1" w:noVBand="1" w:lastRow="0" w:firstColumn="1" w:lastColumn="0" w:noHBand="0"/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w="3331" w:type="dxa"/>
            <w:tcBorders/>
            <w:shd w:fill="FFFFFF" w:val="clear"/>
            <w:vAlign w:val="center"/>
          </w:tcPr>
          <w:p>
            <w:pPr>
              <w:pStyle w:val="Normal"/>
              <w:spacing w:before="0" w:after="0"/>
              <w:rPr>
                <w:color w:val="000000"/>
              </w:rPr>
            </w:pPr>
            <w:r>
              <w:rPr>
                <w:b/>
                <w:color w:val="000000"/>
                <w:sz w:val="18"/>
              </w:rPr>
              <w:t>Grad</w:t>
            </w:r>
          </w:p>
        </w:tc>
        <w:tc>
          <w:tcPr>
            <w:tcW w:w="3331" w:type="dxa"/>
            <w:tcBorders/>
            <w:shd w:fill="FFFFFF" w:val="clear"/>
            <w:vAlign w:val="center"/>
          </w:tcPr>
          <w:p>
            <w:pPr>
              <w:pStyle w:val="Normal"/>
              <w:spacing w:before="0" w:after="0"/>
              <w:rPr>
                <w:color w:val="000000"/>
              </w:rPr>
            </w:pPr>
            <w:r>
              <w:rPr>
                <w:b/>
                <w:color w:val="000000"/>
                <w:sz w:val="18"/>
              </w:rPr>
              <w:t>Hautbefund</w:t>
            </w:r>
          </w:p>
        </w:tc>
        <w:tc>
          <w:tcPr>
            <w:tcW w:w="3331" w:type="dxa"/>
            <w:tcBorders/>
            <w:shd w:fill="FFFFFF" w:val="clear"/>
            <w:vAlign w:val="center"/>
          </w:tcPr>
          <w:p>
            <w:pPr>
              <w:pStyle w:val="Normal"/>
              <w:spacing w:before="0" w:after="0"/>
              <w:rPr>
                <w:color w:val="000000"/>
              </w:rPr>
            </w:pPr>
            <w:r>
              <w:rPr>
                <w:b/>
                <w:color w:val="000000"/>
                <w:sz w:val="18"/>
              </w:rPr>
              <w:t>Einordnung</w:t>
            </w:r>
          </w:p>
        </w:tc>
      </w:tr>
      <w:tr>
        <w:trPr/>
        <w:tc>
          <w:tcPr>
            <w:tcW w:w="3331" w:type="dxa"/>
            <w:tcBorders/>
            <w:vAlign w:val="center"/>
          </w:tcPr>
          <w:p>
            <w:pPr>
              <w:pStyle w:val="Normal"/>
              <w:spacing w:before="0" w:after="0"/>
              <w:rPr>
                <w:color w:val="000000"/>
              </w:rPr>
            </w:pPr>
            <w:r>
              <w:rPr>
                <w:b w:val="false"/>
                <w:color w:val="000000"/>
                <w:sz w:val="17"/>
              </w:rPr>
              <w:t>0</w:t>
            </w:r>
          </w:p>
        </w:tc>
        <w:tc>
          <w:tcPr>
            <w:tcW w:w="3331" w:type="dxa"/>
            <w:tcBorders/>
            <w:vAlign w:val="center"/>
          </w:tcPr>
          <w:p>
            <w:pPr>
              <w:pStyle w:val="Normal"/>
              <w:spacing w:before="0" w:after="0"/>
              <w:rPr>
                <w:color w:val="000000"/>
              </w:rPr>
            </w:pPr>
            <w:r>
              <w:rPr>
                <w:b w:val="false"/>
                <w:color w:val="000000"/>
                <w:sz w:val="17"/>
              </w:rPr>
              <w:t>Haut intakt und gesund.</w:t>
            </w:r>
          </w:p>
        </w:tc>
        <w:tc>
          <w:tcPr>
            <w:tcW w:w="3331" w:type="dxa"/>
            <w:tcBorders/>
            <w:vAlign w:val="center"/>
          </w:tcPr>
          <w:p>
            <w:pPr>
              <w:pStyle w:val="Normal"/>
              <w:spacing w:before="0" w:after="0"/>
              <w:rPr>
                <w:color w:val="000000"/>
              </w:rPr>
            </w:pPr>
            <w:r>
              <w:rPr>
                <w:b w:val="false"/>
                <w:color w:val="000000"/>
                <w:sz w:val="17"/>
              </w:rPr>
              <w:t>Durch Inkontinenz gefährdet; Prävention fortführen.</w:t>
            </w:r>
          </w:p>
        </w:tc>
      </w:tr>
      <w:tr>
        <w:trPr/>
        <w:tc>
          <w:tcPr>
            <w:tcW w:w="3331" w:type="dxa"/>
            <w:tcBorders/>
            <w:shd w:fill="F5F8FA" w:val="clear"/>
            <w:vAlign w:val="center"/>
          </w:tcPr>
          <w:p>
            <w:pPr>
              <w:pStyle w:val="Normal"/>
              <w:spacing w:before="0" w:after="0"/>
              <w:rPr>
                <w:color w:val="000000"/>
              </w:rPr>
            </w:pPr>
            <w:r>
              <w:rPr>
                <w:b w:val="false"/>
                <w:color w:val="000000"/>
                <w:sz w:val="17"/>
              </w:rPr>
              <w:t>1 – leichte IAD</w:t>
            </w:r>
          </w:p>
        </w:tc>
        <w:tc>
          <w:tcPr>
            <w:tcW w:w="3331" w:type="dxa"/>
            <w:tcBorders/>
            <w:shd w:fill="F5F8FA" w:val="clear"/>
            <w:vAlign w:val="center"/>
          </w:tcPr>
          <w:p>
            <w:pPr>
              <w:pStyle w:val="Normal"/>
              <w:spacing w:before="0" w:after="0"/>
              <w:rPr>
                <w:color w:val="000000"/>
              </w:rPr>
            </w:pPr>
            <w:r>
              <w:rPr>
                <w:b w:val="false"/>
                <w:color w:val="000000"/>
                <w:sz w:val="17"/>
              </w:rPr>
              <w:t>Erythem/Rötung bei intakter Haut; keine Blasen oder Erosionen.</w:t>
            </w:r>
          </w:p>
        </w:tc>
        <w:tc>
          <w:tcPr>
            <w:tcW w:w="3331" w:type="dxa"/>
            <w:tcBorders/>
            <w:shd w:fill="F5F8FA" w:val="clear"/>
            <w:vAlign w:val="center"/>
          </w:tcPr>
          <w:p>
            <w:pPr>
              <w:pStyle w:val="Normal"/>
              <w:spacing w:before="0" w:after="0"/>
              <w:rPr>
                <w:color w:val="000000"/>
              </w:rPr>
            </w:pPr>
            <w:r>
              <w:rPr>
                <w:b w:val="false"/>
                <w:color w:val="000000"/>
                <w:sz w:val="17"/>
              </w:rPr>
              <w:t>Barriere schützen und Verlauf eng beobachten.</w:t>
            </w:r>
          </w:p>
        </w:tc>
      </w:tr>
      <w:tr>
        <w:trPr/>
        <w:tc>
          <w:tcPr>
            <w:tcW w:w="3331" w:type="dxa"/>
            <w:tcBorders/>
            <w:vAlign w:val="center"/>
          </w:tcPr>
          <w:p>
            <w:pPr>
              <w:pStyle w:val="Normal"/>
              <w:spacing w:before="0" w:after="0"/>
              <w:rPr>
                <w:color w:val="000000"/>
              </w:rPr>
            </w:pPr>
            <w:r>
              <w:rPr>
                <w:b w:val="false"/>
                <w:color w:val="000000"/>
                <w:sz w:val="17"/>
              </w:rPr>
              <w:t>2 – schwere IAD</w:t>
            </w:r>
          </w:p>
        </w:tc>
        <w:tc>
          <w:tcPr>
            <w:tcW w:w="3331" w:type="dxa"/>
            <w:tcBorders/>
            <w:vAlign w:val="center"/>
          </w:tcPr>
          <w:p>
            <w:pPr>
              <w:pStyle w:val="Normal"/>
              <w:spacing w:before="0" w:after="0"/>
              <w:rPr>
                <w:color w:val="000000"/>
              </w:rPr>
            </w:pPr>
            <w:r>
              <w:rPr>
                <w:b w:val="false"/>
                <w:color w:val="000000"/>
                <w:sz w:val="17"/>
              </w:rPr>
              <w:t>Hochrote, glänzende und feuchte Haut mit sichtbaren Erosionen beziehungsweise Denudation; ggf. Blasen oder Sekundärinfektion. Candida albicans ist als mögliche Ursache einer Sekundärinfektion zu berücksichtigen.</w:t>
            </w:r>
          </w:p>
        </w:tc>
        <w:tc>
          <w:tcPr>
            <w:tcW w:w="3331" w:type="dxa"/>
            <w:tcBorders/>
            <w:vAlign w:val="center"/>
          </w:tcPr>
          <w:p>
            <w:pPr>
              <w:pStyle w:val="Normal"/>
              <w:spacing w:before="0" w:after="0"/>
              <w:rPr>
                <w:color w:val="000000"/>
              </w:rPr>
            </w:pPr>
            <w:r>
              <w:rPr>
                <w:b w:val="false"/>
                <w:color w:val="000000"/>
                <w:sz w:val="17"/>
              </w:rPr>
              <w:t>Ausgedehnte Schädigung; Versorgung und ärztliche/wundfachliche Mitbeurteilung veranlassen.</w:t>
            </w:r>
          </w:p>
        </w:tc>
      </w:tr>
    </w:tbl>
    <w:p>
      <w:pPr>
        <w:pStyle w:val="Normal"/>
        <w:spacing w:before="0" w:after="20"/>
        <w:rPr>
          <w:color w:val="000000"/>
        </w:rPr>
      </w:pPr>
      <w:r>
        <w:rPr>
          <w:color w:val="000000"/>
        </w:rPr>
      </w:r>
    </w:p>
    <w:p>
      <w:pPr>
        <w:pStyle w:val="Normal"/>
        <w:keepNext w:val="true"/>
        <w:spacing w:before="140" w:after="60"/>
        <w:rPr>
          <w:color w:val="000000"/>
        </w:rPr>
      </w:pPr>
      <w:r>
        <w:rPr>
          <w:b/>
          <w:color w:val="000000"/>
          <w:sz w:val="24"/>
        </w:rPr>
        <w:t>4. Pflegerische Kernmaßnahmen: Reinigen – Schützen – Pflegen</w:t>
      </w:r>
    </w:p>
    <w:p>
      <w:pPr>
        <w:pStyle w:val="Normal"/>
        <w:spacing w:lineRule="auto" w:line="247" w:before="0" w:after="40"/>
        <w:rPr>
          <w:color w:val="000000"/>
        </w:rPr>
      </w:pPr>
      <w:r>
        <w:rPr>
          <w:b/>
          <w:i w:val="false"/>
          <w:color w:val="000000"/>
          <w:sz w:val="20"/>
        </w:rPr>
        <w:t>Säule 1 – Reinigen</w:t>
      </w:r>
    </w:p>
    <w:p>
      <w:pPr>
        <w:pStyle w:val="ListBullet"/>
        <w:numPr>
          <w:ilvl w:val="0"/>
          <w:numId w:val="1"/>
        </w:numPr>
        <w:spacing w:lineRule="auto" w:line="240" w:before="0" w:after="20"/>
        <w:ind w:hanging="173" w:start="288"/>
        <w:contextualSpacing/>
        <w:rPr>
          <w:color w:val="000000"/>
        </w:rPr>
      </w:pPr>
      <w:r>
        <w:rPr>
          <w:color w:val="000000"/>
          <w:sz w:val="18"/>
        </w:rPr>
        <w:t>Die Haut unmittelbar nach jedem Inkontinenzereignis reinigen.</w:t>
      </w:r>
    </w:p>
    <w:p>
      <w:pPr>
        <w:pStyle w:val="ListBullet"/>
        <w:numPr>
          <w:ilvl w:val="0"/>
          <w:numId w:val="1"/>
        </w:numPr>
        <w:spacing w:lineRule="auto" w:line="240" w:before="0" w:after="20"/>
        <w:ind w:hanging="173" w:start="288"/>
        <w:contextualSpacing/>
        <w:rPr>
          <w:color w:val="000000"/>
        </w:rPr>
      </w:pPr>
      <w:r>
        <w:rPr>
          <w:color w:val="000000"/>
          <w:sz w:val="18"/>
        </w:rPr>
        <w:t>Keine klassische Stückseife und keine stark schäumenden Waschlotionen verwenden. Geeignet sind pH-hautneutrale Syndets (etwa pH 5,5) oder gebrauchsfertige, tensidfreie Einmal-Reinigungstücher.</w:t>
      </w:r>
    </w:p>
    <w:p>
      <w:pPr>
        <w:pStyle w:val="ListBullet"/>
        <w:numPr>
          <w:ilvl w:val="0"/>
          <w:numId w:val="1"/>
        </w:numPr>
        <w:spacing w:lineRule="auto" w:line="240" w:before="0" w:after="20"/>
        <w:ind w:hanging="173" w:start="288"/>
        <w:contextualSpacing/>
        <w:rPr>
          <w:color w:val="000000"/>
        </w:rPr>
      </w:pPr>
      <w:r>
        <w:rPr>
          <w:color w:val="000000"/>
          <w:sz w:val="18"/>
        </w:rPr>
        <w:t>Verschmutzungen sanft abnehmen: tupfen statt reiben. Anschließend die Haut vorsichtig trocken tupfen.</w:t>
      </w:r>
    </w:p>
    <w:p>
      <w:pPr>
        <w:pStyle w:val="Normal"/>
        <w:spacing w:lineRule="auto" w:line="247" w:before="0" w:after="40"/>
        <w:rPr>
          <w:color w:val="000000"/>
        </w:rPr>
      </w:pPr>
      <w:r>
        <w:rPr>
          <w:b/>
          <w:i w:val="false"/>
          <w:color w:val="000000"/>
          <w:sz w:val="20"/>
        </w:rPr>
        <w:t>Säule 2 – Schützen</w:t>
      </w:r>
    </w:p>
    <w:p>
      <w:pPr>
        <w:pStyle w:val="Normal"/>
        <w:spacing w:lineRule="auto" w:line="247" w:before="0" w:after="60"/>
        <w:rPr>
          <w:color w:val="000000"/>
        </w:rPr>
      </w:pPr>
      <w:r>
        <w:rPr>
          <w:b w:val="false"/>
          <w:i w:val="false"/>
          <w:color w:val="000000"/>
          <w:sz w:val="18"/>
        </w:rPr>
        <w:t>Die Auswahl des Hautschutzes richtet sich nach dem Hautzustand. Produkt, Auftrag und Wiederholungsintervall sind mit der aktuellen Gebrauchsanweisung und den hausinternen Vorgaben abzugleichen (siehe redaktioneller Prüfhinweis).</w:t>
      </w:r>
    </w:p>
    <w:tbl>
      <w:tblPr>
        <w:tblStyle w:val="TableGrid"/>
        <w:tblW w:w="9993" w:type="dxa"/>
        <w:jc w:val="center"/>
        <w:tblInd w:w="0" w:type="dxa"/>
        <w:tblLayout w:type="fixed"/>
        <w:tblCellMar>
          <w:top w:w="90" w:type="dxa"/>
          <w:start w:w="110" w:type="dxa"/>
          <w:bottom w:w="90" w:type="dxa"/>
          <w:end w:w="110" w:type="dxa"/>
        </w:tblCellMar>
        <w:tblLook w:val="04a0" w:firstRow="1" w:noVBand="1" w:lastRow="0" w:firstColumn="1" w:lastColumn="0" w:noHBand="0"/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w="3331" w:type="dxa"/>
            <w:tcBorders/>
            <w:shd w:fill="FFFFFF" w:val="clear"/>
            <w:vAlign w:val="center"/>
          </w:tcPr>
          <w:p>
            <w:pPr>
              <w:pStyle w:val="Normal"/>
              <w:spacing w:before="0" w:after="0"/>
              <w:rPr>
                <w:color w:val="000000"/>
              </w:rPr>
            </w:pPr>
            <w:r>
              <w:rPr>
                <w:b/>
                <w:color w:val="000000"/>
                <w:sz w:val="18"/>
              </w:rPr>
              <w:t>Hautzustand / Variante</w:t>
            </w:r>
          </w:p>
        </w:tc>
        <w:tc>
          <w:tcPr>
            <w:tcW w:w="3331" w:type="dxa"/>
            <w:tcBorders/>
            <w:shd w:fill="FFFFFF" w:val="clear"/>
            <w:vAlign w:val="center"/>
          </w:tcPr>
          <w:p>
            <w:pPr>
              <w:pStyle w:val="Normal"/>
              <w:spacing w:before="0" w:after="0"/>
              <w:rPr>
                <w:color w:val="000000"/>
              </w:rPr>
            </w:pPr>
            <w:r>
              <w:rPr>
                <w:b/>
                <w:color w:val="000000"/>
                <w:sz w:val="18"/>
              </w:rPr>
              <w:t>Anwendung gemäß vorliegender Produktangabe</w:t>
            </w:r>
          </w:p>
        </w:tc>
        <w:tc>
          <w:tcPr>
            <w:tcW w:w="3331" w:type="dxa"/>
            <w:tcBorders/>
            <w:shd w:fill="FFFFFF" w:val="clear"/>
            <w:vAlign w:val="center"/>
          </w:tcPr>
          <w:p>
            <w:pPr>
              <w:pStyle w:val="Normal"/>
              <w:spacing w:before="0" w:after="0"/>
              <w:rPr>
                <w:color w:val="000000"/>
              </w:rPr>
            </w:pPr>
            <w:r>
              <w:rPr>
                <w:b/>
                <w:color w:val="000000"/>
                <w:sz w:val="18"/>
              </w:rPr>
              <w:t>Intervall gemäß vorliegender Produktangabe</w:t>
            </w:r>
          </w:p>
        </w:tc>
      </w:tr>
      <w:tr>
        <w:trPr/>
        <w:tc>
          <w:tcPr>
            <w:tcW w:w="3331" w:type="dxa"/>
            <w:tcBorders/>
            <w:vAlign w:val="center"/>
          </w:tcPr>
          <w:p>
            <w:pPr>
              <w:pStyle w:val="Normal"/>
              <w:spacing w:before="0" w:after="0"/>
              <w:rPr>
                <w:color w:val="000000"/>
              </w:rPr>
            </w:pPr>
            <w:r>
              <w:rPr>
                <w:b w:val="false"/>
                <w:color w:val="000000"/>
                <w:sz w:val="16"/>
              </w:rPr>
              <w:t>Grad 0/1 – Cavilon reizfreier Hautschutz (Lolly/Spray)</w:t>
            </w:r>
          </w:p>
        </w:tc>
        <w:tc>
          <w:tcPr>
            <w:tcW w:w="3331" w:type="dxa"/>
            <w:tcBorders/>
            <w:vAlign w:val="center"/>
          </w:tcPr>
          <w:p>
            <w:pPr>
              <w:pStyle w:val="Normal"/>
              <w:spacing w:before="0" w:after="0"/>
              <w:rPr>
                <w:color w:val="000000"/>
              </w:rPr>
            </w:pPr>
            <w:r>
              <w:rPr>
                <w:b w:val="false"/>
                <w:color w:val="000000"/>
                <w:sz w:val="16"/>
              </w:rPr>
              <w:t>Auf saubere, trockene Haut auftragen; mindestens 30 Sekunden trocknen lassen.</w:t>
            </w:r>
          </w:p>
        </w:tc>
        <w:tc>
          <w:tcPr>
            <w:tcW w:w="3331" w:type="dxa"/>
            <w:tcBorders/>
            <w:vAlign w:val="center"/>
          </w:tcPr>
          <w:p>
            <w:pPr>
              <w:pStyle w:val="Normal"/>
              <w:spacing w:before="0" w:after="0"/>
              <w:rPr>
                <w:color w:val="000000"/>
              </w:rPr>
            </w:pPr>
            <w:r>
              <w:rPr>
                <w:b w:val="false"/>
                <w:color w:val="000000"/>
                <w:sz w:val="16"/>
              </w:rPr>
              <w:t>48–72 Stunden beziehungsweise nach dem 4.–6. Waschvorgang.</w:t>
            </w:r>
          </w:p>
        </w:tc>
      </w:tr>
      <w:tr>
        <w:trPr/>
        <w:tc>
          <w:tcPr>
            <w:tcW w:w="3331" w:type="dxa"/>
            <w:tcBorders/>
            <w:shd w:fill="F5F8FA" w:val="clear"/>
            <w:vAlign w:val="center"/>
          </w:tcPr>
          <w:p>
            <w:pPr>
              <w:pStyle w:val="Normal"/>
              <w:spacing w:before="0" w:after="0"/>
              <w:rPr>
                <w:color w:val="000000"/>
              </w:rPr>
            </w:pPr>
            <w:r>
              <w:rPr>
                <w:b w:val="false"/>
                <w:color w:val="000000"/>
                <w:sz w:val="16"/>
              </w:rPr>
              <w:t>Grad 2 – Cavilon Advanced Polymer-Hautschutz</w:t>
            </w:r>
          </w:p>
        </w:tc>
        <w:tc>
          <w:tcPr>
            <w:tcW w:w="3331" w:type="dxa"/>
            <w:tcBorders/>
            <w:shd w:fill="F5F8FA" w:val="clear"/>
            <w:vAlign w:val="center"/>
          </w:tcPr>
          <w:p>
            <w:pPr>
              <w:pStyle w:val="Normal"/>
              <w:spacing w:before="0" w:after="0"/>
              <w:rPr>
                <w:color w:val="000000"/>
              </w:rPr>
            </w:pPr>
            <w:r>
              <w:rPr>
                <w:b w:val="false"/>
                <w:color w:val="000000"/>
                <w:sz w:val="16"/>
              </w:rPr>
              <w:t>Gezielt auf erosive oder feuchte Areale auftragen. Die vorliegende Produktangabe beschreibt Haftung auf feuchtem, denudiertem Gewebe und eine mögliche Minderung von Debridementschmerz. Film selbstständig abnutzen lassen; nicht mechanisch entfernen.</w:t>
            </w:r>
          </w:p>
        </w:tc>
        <w:tc>
          <w:tcPr>
            <w:tcW w:w="3331" w:type="dxa"/>
            <w:tcBorders/>
            <w:shd w:fill="F5F8FA" w:val="clear"/>
            <w:vAlign w:val="center"/>
          </w:tcPr>
          <w:p>
            <w:pPr>
              <w:pStyle w:val="Normal"/>
              <w:spacing w:before="0" w:after="0"/>
              <w:rPr>
                <w:color w:val="000000"/>
              </w:rPr>
            </w:pPr>
            <w:r>
              <w:rPr>
                <w:b w:val="false"/>
                <w:color w:val="000000"/>
                <w:sz w:val="16"/>
              </w:rPr>
              <w:t>72 Stunden; anschließend nach Hautzustand und Gebrauchsanweisung erneuern.</w:t>
            </w:r>
          </w:p>
        </w:tc>
      </w:tr>
    </w:tbl>
    <w:p>
      <w:pPr>
        <w:pStyle w:val="Normal"/>
        <w:spacing w:before="0" w:after="20"/>
        <w:rPr>
          <w:color w:val="000000"/>
        </w:rPr>
      </w:pPr>
      <w:r>
        <w:rPr>
          <w:color w:val="000000"/>
        </w:rPr>
      </w:r>
    </w:p>
    <w:p>
      <w:pPr>
        <w:pStyle w:val="Normal"/>
        <w:spacing w:lineRule="auto" w:line="247" w:before="80" w:after="40"/>
        <w:rPr>
          <w:color w:val="000000"/>
        </w:rPr>
      </w:pPr>
      <w:r>
        <w:rPr>
          <w:b/>
          <w:i w:val="false"/>
          <w:color w:val="000000"/>
          <w:sz w:val="20"/>
        </w:rPr>
        <w:t>Säule 3 – Pflegen</w:t>
      </w:r>
    </w:p>
    <w:p>
      <w:pPr>
        <w:pStyle w:val="ListBullet"/>
        <w:numPr>
          <w:ilvl w:val="0"/>
          <w:numId w:val="1"/>
        </w:numPr>
        <w:spacing w:lineRule="auto" w:line="240" w:before="0" w:after="20"/>
        <w:ind w:hanging="173" w:start="288"/>
        <w:contextualSpacing/>
        <w:rPr>
          <w:color w:val="000000"/>
        </w:rPr>
      </w:pPr>
      <w:r>
        <w:rPr>
          <w:color w:val="000000"/>
          <w:sz w:val="18"/>
        </w:rPr>
        <w:t>Die Pflege an Hautzustand und individuellen Bedürfnissen ausrichten. Hautschutz und Pflegeprodukte so auswählen, dass die Barriere erhalten wird und keine unnötige Reibung entsteht.</w:t>
      </w:r>
    </w:p>
    <w:p>
      <w:pPr>
        <w:pStyle w:val="Normal"/>
        <w:keepNext w:val="true"/>
        <w:spacing w:before="140" w:after="60"/>
        <w:rPr>
          <w:color w:val="000000"/>
        </w:rPr>
      </w:pPr>
      <w:r>
        <w:rPr>
          <w:b/>
          <w:color w:val="000000"/>
          <w:sz w:val="24"/>
        </w:rPr>
        <w:t>5. Kausaltherapie und Feuchtigkeitsmanagement</w:t>
      </w:r>
    </w:p>
    <w:p>
      <w:pPr>
        <w:pStyle w:val="ListBullet"/>
        <w:numPr>
          <w:ilvl w:val="0"/>
          <w:numId w:val="1"/>
        </w:numPr>
        <w:spacing w:lineRule="auto" w:line="240" w:before="0" w:after="20"/>
        <w:ind w:hanging="173" w:start="288"/>
        <w:contextualSpacing/>
        <w:rPr>
          <w:color w:val="000000"/>
        </w:rPr>
      </w:pPr>
      <w:r>
        <w:rPr>
          <w:color w:val="000000"/>
          <w:sz w:val="18"/>
        </w:rPr>
        <w:t>Atmungsaktive Inkontinenzhilfsmittel mit Superabsorber (SAP) verwenden und bedarfsgerecht wechseln.</w:t>
      </w:r>
    </w:p>
    <w:p>
      <w:pPr>
        <w:pStyle w:val="ListBullet"/>
        <w:numPr>
          <w:ilvl w:val="0"/>
          <w:numId w:val="1"/>
        </w:numPr>
        <w:spacing w:lineRule="auto" w:line="240" w:before="0" w:after="20"/>
        <w:ind w:hanging="173" w:start="288"/>
        <w:contextualSpacing/>
        <w:rPr>
          <w:color w:val="000000"/>
        </w:rPr>
      </w:pPr>
      <w:r>
        <w:rPr>
          <w:color w:val="000000"/>
          <w:sz w:val="18"/>
        </w:rPr>
        <w:t>Okkludierende Plastikhosen und übereinandergelegte Bettschutzunterlagen vermeiden.</w:t>
      </w:r>
    </w:p>
    <w:p>
      <w:pPr>
        <w:pStyle w:val="ListBullet"/>
        <w:numPr>
          <w:ilvl w:val="0"/>
          <w:numId w:val="1"/>
        </w:numPr>
        <w:spacing w:lineRule="auto" w:line="240" w:before="0" w:after="20"/>
        <w:ind w:hanging="173" w:start="288"/>
        <w:contextualSpacing/>
        <w:rPr>
          <w:color w:val="000000"/>
        </w:rPr>
      </w:pPr>
      <w:r>
        <w:rPr>
          <w:color w:val="000000"/>
          <w:sz w:val="18"/>
        </w:rPr>
        <w:t>Ärztlich und pflegerisch prüfen, ob temporäre ableitende Systeme indiziert sind, zum Beispiel ein Fäkalkollektor bei massiver flüssiger Diarrhö.</w:t>
      </w:r>
    </w:p>
    <w:p>
      <w:pPr>
        <w:pStyle w:val="Normal"/>
        <w:keepNext w:val="true"/>
        <w:spacing w:before="140" w:after="60"/>
        <w:rPr>
          <w:color w:val="000000"/>
        </w:rPr>
      </w:pPr>
      <w:r>
        <w:rPr>
          <w:b/>
          <w:color w:val="000000"/>
          <w:sz w:val="24"/>
        </w:rPr>
        <w:t>6. Differenzialdiagnostische Hinweise: IAD und Dekubitus</w:t>
      </w:r>
    </w:p>
    <w:p>
      <w:pPr>
        <w:pStyle w:val="Normal"/>
        <w:spacing w:lineRule="auto" w:line="247" w:before="0" w:after="60"/>
        <w:rPr>
          <w:color w:val="000000"/>
        </w:rPr>
      </w:pPr>
      <w:r>
        <w:rPr>
          <w:b w:val="false"/>
          <w:i w:val="false"/>
          <w:color w:val="000000"/>
          <w:sz w:val="18"/>
        </w:rPr>
        <w:t>Die folgenden Merkmale unterstützen die Einschätzung, reichen allein jedoch nicht zur Diagnosestellung aus. Bei Unsicherheit sind weitere klinische Kriterien, Verlauf und Gesamtsituation einzubeziehen; bei Bedarf Wundmanagement beziehungsweise ärztlichen Dienst hinzuziehen.</w:t>
      </w:r>
    </w:p>
    <w:tbl>
      <w:tblPr>
        <w:tblStyle w:val="TableGrid"/>
        <w:tblW w:w="9993" w:type="dxa"/>
        <w:jc w:val="center"/>
        <w:tblInd w:w="0" w:type="dxa"/>
        <w:tblLayout w:type="fixed"/>
        <w:tblCellMar>
          <w:top w:w="90" w:type="dxa"/>
          <w:start w:w="110" w:type="dxa"/>
          <w:bottom w:w="90" w:type="dxa"/>
          <w:end w:w="110" w:type="dxa"/>
        </w:tblCellMar>
        <w:tblLook w:val="04a0" w:firstRow="1" w:noVBand="1" w:lastRow="0" w:firstColumn="1" w:lastColumn="0" w:noHBand="0"/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w="3331" w:type="dxa"/>
            <w:tcBorders/>
            <w:shd w:fill="FFFFFF" w:val="clear"/>
            <w:vAlign w:val="center"/>
          </w:tcPr>
          <w:p>
            <w:pPr>
              <w:pStyle w:val="Normal"/>
              <w:spacing w:before="0" w:after="0"/>
              <w:rPr>
                <w:color w:val="000000"/>
              </w:rPr>
            </w:pPr>
            <w:r>
              <w:rPr>
                <w:b/>
                <w:color w:val="000000"/>
                <w:sz w:val="18"/>
              </w:rPr>
              <w:t>Merkmal</w:t>
            </w:r>
          </w:p>
        </w:tc>
        <w:tc>
          <w:tcPr>
            <w:tcW w:w="3331" w:type="dxa"/>
            <w:tcBorders/>
            <w:shd w:fill="FFFFFF" w:val="clear"/>
            <w:vAlign w:val="center"/>
          </w:tcPr>
          <w:p>
            <w:pPr>
              <w:pStyle w:val="Normal"/>
              <w:spacing w:before="0" w:after="0"/>
              <w:rPr>
                <w:color w:val="000000"/>
              </w:rPr>
            </w:pPr>
            <w:r>
              <w:rPr>
                <w:b/>
                <w:color w:val="000000"/>
                <w:sz w:val="18"/>
              </w:rPr>
              <w:t>IAD – mögliche Hinweise</w:t>
            </w:r>
          </w:p>
        </w:tc>
        <w:tc>
          <w:tcPr>
            <w:tcW w:w="3331" w:type="dxa"/>
            <w:tcBorders/>
            <w:shd w:fill="FFFFFF" w:val="clear"/>
            <w:vAlign w:val="center"/>
          </w:tcPr>
          <w:p>
            <w:pPr>
              <w:pStyle w:val="Normal"/>
              <w:spacing w:before="0" w:after="0"/>
              <w:rPr>
                <w:color w:val="000000"/>
              </w:rPr>
            </w:pPr>
            <w:r>
              <w:rPr>
                <w:b/>
                <w:color w:val="000000"/>
                <w:sz w:val="18"/>
              </w:rPr>
              <w:t>Dekubitus – mögliche Hinweise</w:t>
            </w:r>
          </w:p>
        </w:tc>
      </w:tr>
      <w:tr>
        <w:trPr/>
        <w:tc>
          <w:tcPr>
            <w:tcW w:w="3331" w:type="dxa"/>
            <w:tcBorders/>
            <w:vAlign w:val="center"/>
          </w:tcPr>
          <w:p>
            <w:pPr>
              <w:pStyle w:val="Normal"/>
              <w:spacing w:before="0" w:after="0"/>
              <w:rPr>
                <w:color w:val="000000"/>
              </w:rPr>
            </w:pPr>
            <w:r>
              <w:rPr>
                <w:b w:val="false"/>
                <w:color w:val="000000"/>
                <w:sz w:val="16"/>
              </w:rPr>
              <w:t>Verteilung / Rand</w:t>
            </w:r>
          </w:p>
        </w:tc>
        <w:tc>
          <w:tcPr>
            <w:tcW w:w="3331" w:type="dxa"/>
            <w:tcBorders/>
            <w:vAlign w:val="center"/>
          </w:tcPr>
          <w:p>
            <w:pPr>
              <w:pStyle w:val="Normal"/>
              <w:spacing w:before="0" w:after="0"/>
              <w:rPr>
                <w:color w:val="000000"/>
              </w:rPr>
            </w:pPr>
            <w:r>
              <w:rPr>
                <w:b w:val="false"/>
                <w:color w:val="000000"/>
                <w:sz w:val="16"/>
              </w:rPr>
              <w:t>Eher diffuse oder unregelmäßige Ränder; flächige Areale, auch in Hautfalten; kein unmittelbarer Bezug zu knöchernen Prominenzen.</w:t>
            </w:r>
          </w:p>
        </w:tc>
        <w:tc>
          <w:tcPr>
            <w:tcW w:w="3331" w:type="dxa"/>
            <w:tcBorders/>
            <w:vAlign w:val="center"/>
          </w:tcPr>
          <w:p>
            <w:pPr>
              <w:pStyle w:val="Normal"/>
              <w:spacing w:before="0" w:after="0"/>
              <w:rPr>
                <w:color w:val="000000"/>
              </w:rPr>
            </w:pPr>
            <w:r>
              <w:rPr>
                <w:b w:val="false"/>
                <w:color w:val="000000"/>
                <w:sz w:val="16"/>
              </w:rPr>
              <w:t>Eher scharf begrenzte Läsion über einer knöchernen Prominenz, zum Beispiel Sacrum oder Trochanter.</w:t>
            </w:r>
          </w:p>
        </w:tc>
      </w:tr>
      <w:tr>
        <w:trPr/>
        <w:tc>
          <w:tcPr>
            <w:tcW w:w="3331" w:type="dxa"/>
            <w:tcBorders/>
            <w:shd w:fill="F5F8FA" w:val="clear"/>
            <w:vAlign w:val="center"/>
          </w:tcPr>
          <w:p>
            <w:pPr>
              <w:pStyle w:val="Normal"/>
              <w:spacing w:before="0" w:after="0"/>
              <w:rPr>
                <w:color w:val="000000"/>
              </w:rPr>
            </w:pPr>
            <w:r>
              <w:rPr>
                <w:b w:val="false"/>
                <w:color w:val="000000"/>
                <w:sz w:val="16"/>
              </w:rPr>
              <w:t>Schmerz</w:t>
            </w:r>
          </w:p>
        </w:tc>
        <w:tc>
          <w:tcPr>
            <w:tcW w:w="3331" w:type="dxa"/>
            <w:tcBorders/>
            <w:shd w:fill="F5F8FA" w:val="clear"/>
            <w:vAlign w:val="center"/>
          </w:tcPr>
          <w:p>
            <w:pPr>
              <w:pStyle w:val="Normal"/>
              <w:spacing w:before="0" w:after="0"/>
              <w:rPr>
                <w:color w:val="000000"/>
              </w:rPr>
            </w:pPr>
            <w:r>
              <w:rPr>
                <w:b w:val="false"/>
                <w:color w:val="000000"/>
                <w:sz w:val="16"/>
              </w:rPr>
              <w:t>Brennen oder Wundsein möglich.</w:t>
            </w:r>
          </w:p>
        </w:tc>
        <w:tc>
          <w:tcPr>
            <w:tcW w:w="3331" w:type="dxa"/>
            <w:tcBorders/>
            <w:shd w:fill="F5F8FA" w:val="clear"/>
            <w:vAlign w:val="center"/>
          </w:tcPr>
          <w:p>
            <w:pPr>
              <w:pStyle w:val="Normal"/>
              <w:spacing w:before="0" w:after="0"/>
              <w:rPr>
                <w:color w:val="000000"/>
              </w:rPr>
            </w:pPr>
            <w:r>
              <w:rPr>
                <w:b w:val="false"/>
                <w:color w:val="000000"/>
                <w:sz w:val="16"/>
              </w:rPr>
              <w:t>Stechender oder dumpfer Schmerz möglich.</w:t>
            </w:r>
          </w:p>
        </w:tc>
      </w:tr>
      <w:tr>
        <w:trPr/>
        <w:tc>
          <w:tcPr>
            <w:tcW w:w="3331" w:type="dxa"/>
            <w:tcBorders/>
            <w:vAlign w:val="center"/>
          </w:tcPr>
          <w:p>
            <w:pPr>
              <w:pStyle w:val="Normal"/>
              <w:spacing w:before="0" w:after="0"/>
              <w:rPr>
                <w:color w:val="000000"/>
              </w:rPr>
            </w:pPr>
            <w:r>
              <w:rPr>
                <w:b w:val="false"/>
                <w:color w:val="000000"/>
                <w:sz w:val="16"/>
              </w:rPr>
              <w:t>Rötung</w:t>
            </w:r>
          </w:p>
        </w:tc>
        <w:tc>
          <w:tcPr>
            <w:tcW w:w="3331" w:type="dxa"/>
            <w:tcBorders/>
            <w:vAlign w:val="center"/>
          </w:tcPr>
          <w:p>
            <w:pPr>
              <w:pStyle w:val="Normal"/>
              <w:spacing w:before="0" w:after="0"/>
              <w:rPr>
                <w:color w:val="000000"/>
              </w:rPr>
            </w:pPr>
            <w:r>
              <w:rPr>
                <w:b w:val="false"/>
                <w:color w:val="000000"/>
                <w:sz w:val="16"/>
              </w:rPr>
              <w:t>Bei intakter Epidermis ggf. wegdrückbar.</w:t>
            </w:r>
          </w:p>
        </w:tc>
        <w:tc>
          <w:tcPr>
            <w:tcW w:w="3331" w:type="dxa"/>
            <w:tcBorders/>
            <w:vAlign w:val="center"/>
          </w:tcPr>
          <w:p>
            <w:pPr>
              <w:pStyle w:val="Normal"/>
              <w:spacing w:before="0" w:after="0"/>
              <w:rPr>
                <w:color w:val="000000"/>
              </w:rPr>
            </w:pPr>
            <w:r>
              <w:rPr>
                <w:b w:val="false"/>
                <w:color w:val="000000"/>
                <w:sz w:val="16"/>
              </w:rPr>
              <w:t>Nicht wegdrückbare Rötung kann ein Hinweis auf einen Dekubitus sein.</w:t>
            </w:r>
          </w:p>
        </w:tc>
      </w:tr>
    </w:tbl>
    <w:p>
      <w:pPr>
        <w:pStyle w:val="Normal"/>
        <w:spacing w:before="0" w:after="20"/>
        <w:rPr>
          <w:color w:val="000000"/>
        </w:rPr>
      </w:pPr>
      <w:r>
        <w:rPr>
          <w:color w:val="000000"/>
        </w:rPr>
      </w:r>
    </w:p>
    <w:p>
      <w:pPr>
        <w:pStyle w:val="Normal"/>
        <w:keepNext w:val="true"/>
        <w:spacing w:before="140" w:after="60"/>
        <w:rPr>
          <w:color w:val="000000"/>
        </w:rPr>
      </w:pPr>
      <w:r>
        <w:rPr>
          <w:b/>
          <w:color w:val="000000"/>
          <w:sz w:val="24"/>
        </w:rPr>
        <w:t>7. Dokumentation, Übergabe und Evaluation</w:t>
      </w:r>
    </w:p>
    <w:p>
      <w:pPr>
        <w:pStyle w:val="ListBullet"/>
        <w:numPr>
          <w:ilvl w:val="0"/>
          <w:numId w:val="1"/>
        </w:numPr>
        <w:spacing w:lineRule="auto" w:line="240" w:before="0" w:after="20"/>
        <w:ind w:hanging="173" w:start="288"/>
        <w:contextualSpacing/>
        <w:rPr>
          <w:color w:val="000000"/>
        </w:rPr>
      </w:pPr>
      <w:r>
        <w:rPr>
          <w:color w:val="000000"/>
          <w:sz w:val="18"/>
        </w:rPr>
        <w:t>Jede Cavilon-Applikation im Wundbogen oder in der digitalen Akte dokumentieren: Produktvariante, Uhrzeit und Hautzustand.</w:t>
      </w:r>
    </w:p>
    <w:p>
      <w:pPr>
        <w:pStyle w:val="ListBullet"/>
        <w:numPr>
          <w:ilvl w:val="0"/>
          <w:numId w:val="1"/>
        </w:numPr>
        <w:spacing w:lineRule="auto" w:line="240" w:before="0" w:after="20"/>
        <w:ind w:hanging="173" w:start="288"/>
        <w:contextualSpacing/>
        <w:rPr>
          <w:color w:val="000000"/>
        </w:rPr>
      </w:pPr>
      <w:r>
        <w:rPr>
          <w:color w:val="000000"/>
          <w:sz w:val="18"/>
        </w:rPr>
        <w:t>Hautzustand bei der Schichtübergabe visuell kontrollieren; die schriftliche Evaluation mindestens einmal täglich durchführen.</w:t>
      </w:r>
    </w:p>
    <w:p>
      <w:pPr>
        <w:pStyle w:val="ListBullet"/>
        <w:numPr>
          <w:ilvl w:val="0"/>
          <w:numId w:val="1"/>
        </w:numPr>
        <w:spacing w:lineRule="auto" w:line="240" w:before="0" w:after="20"/>
        <w:ind w:hanging="173" w:start="288"/>
        <w:contextualSpacing/>
        <w:rPr>
          <w:color w:val="000000"/>
        </w:rPr>
      </w:pPr>
      <w:r>
        <w:rPr>
          <w:color w:val="000000"/>
          <w:sz w:val="18"/>
        </w:rPr>
        <w:t>Bei Verschlechterung oder ausbleibender Besserung innerhalb von 48 Stunden Wundmanagement und Stationsarzt hinzuziehen. Eine mögliche Pilzinfektion/Candidiasis abklären lassen.</w:t>
      </w:r>
    </w:p>
    <w:p>
      <w:pPr>
        <w:pStyle w:val="Normal"/>
        <w:keepNext w:val="true"/>
        <w:spacing w:before="140" w:after="60"/>
        <w:rPr>
          <w:color w:val="000000"/>
        </w:rPr>
      </w:pPr>
      <w:r>
        <w:rPr>
          <w:b/>
          <w:color w:val="000000"/>
          <w:sz w:val="24"/>
        </w:rPr>
        <w:t>8. Gültigkeit und Freigabe</w:t>
      </w:r>
    </w:p>
    <w:tbl>
      <w:tblPr>
        <w:tblStyle w:val="TableGrid"/>
        <w:tblW w:w="9970" w:type="dxa"/>
        <w:jc w:val="center"/>
        <w:tblInd w:w="0" w:type="dxa"/>
        <w:tblLayout w:type="fixed"/>
        <w:tblCellMar>
          <w:top w:w="90" w:type="dxa"/>
          <w:start w:w="110" w:type="dxa"/>
          <w:bottom w:w="90" w:type="dxa"/>
          <w:end w:w="110" w:type="dxa"/>
        </w:tblCellMar>
        <w:tblLook w:val="04a0" w:firstRow="1" w:noVBand="1" w:lastRow="0" w:firstColumn="1" w:lastColumn="0" w:noHBand="0"/>
      </w:tblPr>
      <w:tblGrid>
        <w:gridCol w:w="2498"/>
        <w:gridCol w:w="2498"/>
        <w:gridCol w:w="2498"/>
        <w:gridCol w:w="2476"/>
      </w:tblGrid>
      <w:tr>
        <w:trPr>
          <w:tblHeader w:val="true"/>
        </w:trPr>
        <w:tc>
          <w:tcPr>
            <w:tcW w:w="2498" w:type="dxa"/>
            <w:tcBorders/>
            <w:shd w:fill="FFFFFF" w:val="clear"/>
            <w:vAlign w:val="center"/>
          </w:tcPr>
          <w:p>
            <w:pPr>
              <w:pStyle w:val="Normal"/>
              <w:spacing w:before="0" w:after="0"/>
              <w:rPr>
                <w:color w:val="000000"/>
              </w:rPr>
            </w:pPr>
            <w:r>
              <w:rPr>
                <w:b/>
                <w:color w:val="000000"/>
                <w:sz w:val="18"/>
              </w:rPr>
              <w:t>Gültig ab</w:t>
            </w:r>
          </w:p>
        </w:tc>
        <w:tc>
          <w:tcPr>
            <w:tcW w:w="2498" w:type="dxa"/>
            <w:tcBorders/>
            <w:shd w:fill="FFFFFF" w:val="clear"/>
            <w:vAlign w:val="center"/>
          </w:tcPr>
          <w:p>
            <w:pPr>
              <w:pStyle w:val="Normal"/>
              <w:spacing w:before="0" w:after="0"/>
              <w:rPr>
                <w:color w:val="000000"/>
              </w:rPr>
            </w:pPr>
            <w:r>
              <w:rPr>
                <w:b/>
                <w:color w:val="000000"/>
                <w:sz w:val="18"/>
              </w:rPr>
              <w:t>Nächste Überprüfung</w:t>
            </w:r>
          </w:p>
        </w:tc>
        <w:tc>
          <w:tcPr>
            <w:tcW w:w="2498" w:type="dxa"/>
            <w:tcBorders/>
            <w:shd w:fill="FFFFFF" w:val="clear"/>
            <w:vAlign w:val="center"/>
          </w:tcPr>
          <w:p>
            <w:pPr>
              <w:pStyle w:val="Normal"/>
              <w:spacing w:before="0" w:after="0"/>
              <w:rPr>
                <w:color w:val="000000"/>
              </w:rPr>
            </w:pPr>
            <w:r>
              <w:rPr>
                <w:b/>
                <w:color w:val="000000"/>
                <w:sz w:val="18"/>
              </w:rPr>
              <w:t>Erstellt durch</w:t>
            </w:r>
          </w:p>
        </w:tc>
        <w:tc>
          <w:tcPr>
            <w:tcW w:w="2476" w:type="dxa"/>
            <w:tcBorders/>
            <w:shd w:fill="FFFFFF" w:val="clear"/>
            <w:vAlign w:val="center"/>
          </w:tcPr>
          <w:p>
            <w:pPr>
              <w:pStyle w:val="Normal"/>
              <w:spacing w:before="0" w:after="0"/>
              <w:rPr>
                <w:color w:val="000000"/>
              </w:rPr>
            </w:pPr>
            <w:r>
              <w:rPr>
                <w:b/>
                <w:color w:val="000000"/>
                <w:sz w:val="18"/>
              </w:rPr>
              <w:t>Freigegeben durch</w:t>
            </w:r>
          </w:p>
        </w:tc>
      </w:tr>
      <w:tr>
        <w:trPr/>
        <w:tc>
          <w:tcPr>
            <w:tcW w:w="2498" w:type="dxa"/>
            <w:tcBorders/>
            <w:vAlign w:val="center"/>
          </w:tcPr>
          <w:p>
            <w:pPr>
              <w:pStyle w:val="Normal"/>
              <w:spacing w:before="0" w:after="0"/>
              <w:rPr>
                <w:color w:val="000000"/>
              </w:rPr>
            </w:pPr>
            <w:r>
              <w:rPr>
                <w:b w:val="false"/>
                <w:color w:val="000000"/>
                <w:sz w:val="17"/>
              </w:rPr>
              <w:t>27.10.2026</w:t>
            </w:r>
          </w:p>
        </w:tc>
        <w:tc>
          <w:tcPr>
            <w:tcW w:w="2498" w:type="dxa"/>
            <w:tcBorders/>
            <w:vAlign w:val="center"/>
          </w:tcPr>
          <w:p>
            <w:pPr>
              <w:pStyle w:val="Normal"/>
              <w:spacing w:before="0" w:after="0"/>
              <w:rPr>
                <w:color w:val="000000"/>
              </w:rPr>
            </w:pPr>
            <w:r>
              <w:rPr>
                <w:b w:val="false"/>
                <w:color w:val="000000"/>
                <w:sz w:val="17"/>
              </w:rPr>
              <w:t>27.10.2028</w:t>
            </w:r>
          </w:p>
        </w:tc>
        <w:tc>
          <w:tcPr>
            <w:tcW w:w="2498" w:type="dxa"/>
            <w:tcBorders/>
            <w:vAlign w:val="center"/>
          </w:tcPr>
          <w:p>
            <w:pPr>
              <w:pStyle w:val="Normal"/>
              <w:spacing w:before="0" w:after="0"/>
              <w:rPr>
                <w:color w:val="000000"/>
              </w:rPr>
            </w:pPr>
            <w:r>
              <w:rPr>
                <w:b w:val="false"/>
                <w:color w:val="000000"/>
                <w:sz w:val="17"/>
              </w:rPr>
              <w:t>Wundmanagement / Qualitätsmanagement</w:t>
            </w:r>
          </w:p>
        </w:tc>
        <w:tc>
          <w:tcPr>
            <w:tcW w:w="2476" w:type="dxa"/>
            <w:tcBorders/>
            <w:vAlign w:val="center"/>
          </w:tcPr>
          <w:p>
            <w:pPr>
              <w:pStyle w:val="Normal"/>
              <w:spacing w:before="0" w:after="0"/>
              <w:rPr>
                <w:color w:val="000000"/>
              </w:rPr>
            </w:pPr>
            <w:r>
              <w:rPr>
                <w:b w:val="false"/>
                <w:color w:val="000000"/>
                <w:sz w:val="17"/>
              </w:rPr>
              <w:t>Pflegedirektion</w:t>
            </w:r>
          </w:p>
        </w:tc>
      </w:tr>
    </w:tbl>
    <w:p>
      <w:pPr>
        <w:pStyle w:val="Normal"/>
        <w:spacing w:before="0" w:after="20"/>
        <w:rPr>
          <w:color w:val="000000"/>
        </w:rPr>
      </w:pPr>
      <w:r>
        <w:rPr>
          <w:color w:val="000000"/>
        </w:rPr>
      </w:r>
    </w:p>
    <w:tbl>
      <w:tblPr>
        <w:tblStyle w:val="TableGrid"/>
        <w:tblW w:w="9993" w:type="dxa"/>
        <w:jc w:val="center"/>
        <w:tblInd w:w="0" w:type="dxa"/>
        <w:tblLayout w:type="fixed"/>
        <w:tblCellMar>
          <w:top w:w="90" w:type="dxa"/>
          <w:start w:w="110" w:type="dxa"/>
          <w:bottom w:w="90" w:type="dxa"/>
          <w:end w:w="110" w:type="dxa"/>
        </w:tblCellMar>
        <w:tblLook w:val="04a0" w:firstRow="1" w:noVBand="1" w:lastRow="0" w:firstColumn="1" w:lastColumn="0" w:noHBand="0"/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w="3331" w:type="dxa"/>
            <w:tcBorders/>
            <w:shd w:fill="FFFFFF" w:val="clear"/>
            <w:vAlign w:val="center"/>
          </w:tcPr>
          <w:p>
            <w:pPr>
              <w:pStyle w:val="Normal"/>
              <w:spacing w:before="0" w:after="0"/>
              <w:rPr>
                <w:color w:val="000000"/>
              </w:rPr>
            </w:pPr>
            <w:r>
              <w:rPr>
                <w:b/>
                <w:color w:val="000000"/>
                <w:sz w:val="18"/>
              </w:rPr>
              <w:t>Erstellt / bearbeitet</w:t>
            </w:r>
          </w:p>
        </w:tc>
        <w:tc>
          <w:tcPr>
            <w:tcW w:w="3331" w:type="dxa"/>
            <w:tcBorders/>
            <w:shd w:fill="FFFFFF" w:val="clear"/>
            <w:vAlign w:val="center"/>
          </w:tcPr>
          <w:p>
            <w:pPr>
              <w:pStyle w:val="Normal"/>
              <w:spacing w:before="0" w:after="0"/>
              <w:rPr>
                <w:color w:val="000000"/>
              </w:rPr>
            </w:pPr>
            <w:r>
              <w:rPr>
                <w:b/>
                <w:color w:val="000000"/>
                <w:sz w:val="18"/>
              </w:rPr>
              <w:t>Geprüft</w:t>
            </w:r>
          </w:p>
        </w:tc>
        <w:tc>
          <w:tcPr>
            <w:tcW w:w="3331" w:type="dxa"/>
            <w:tcBorders/>
            <w:shd w:fill="FFFFFF" w:val="clear"/>
            <w:vAlign w:val="center"/>
          </w:tcPr>
          <w:p>
            <w:pPr>
              <w:pStyle w:val="Normal"/>
              <w:spacing w:before="0" w:after="0"/>
              <w:rPr>
                <w:color w:val="000000"/>
              </w:rPr>
            </w:pPr>
            <w:r>
              <w:rPr>
                <w:b/>
                <w:color w:val="000000"/>
                <w:sz w:val="18"/>
              </w:rPr>
              <w:t>Freigegeben</w:t>
            </w:r>
          </w:p>
        </w:tc>
      </w:tr>
      <w:tr>
        <w:trPr/>
        <w:tc>
          <w:tcPr>
            <w:tcW w:w="3331" w:type="dxa"/>
            <w:tcBorders/>
            <w:vAlign w:val="center"/>
          </w:tcPr>
          <w:p>
            <w:pPr>
              <w:pStyle w:val="Normal"/>
              <w:spacing w:before="0" w:after="0"/>
              <w:rPr>
                <w:color w:val="000000"/>
              </w:rPr>
            </w:pPr>
            <w:r>
              <w:rPr>
                <w:b w:val="false"/>
                <w:color w:val="000000"/>
                <w:sz w:val="17"/>
              </w:rPr>
              <w:br/>
              <w:t>________________________</w:t>
              <w:br/>
              <w:t>Datum / Unterschrift</w:t>
            </w:r>
          </w:p>
        </w:tc>
        <w:tc>
          <w:tcPr>
            <w:tcW w:w="3331" w:type="dxa"/>
            <w:tcBorders/>
            <w:vAlign w:val="center"/>
          </w:tcPr>
          <w:p>
            <w:pPr>
              <w:pStyle w:val="Normal"/>
              <w:spacing w:before="0" w:after="0"/>
              <w:rPr>
                <w:color w:val="000000"/>
              </w:rPr>
            </w:pPr>
            <w:r>
              <w:rPr>
                <w:b w:val="false"/>
                <w:color w:val="000000"/>
                <w:sz w:val="17"/>
              </w:rPr>
              <w:br/>
              <w:t>________________________</w:t>
              <w:br/>
              <w:t>Datum / Unterschrift</w:t>
            </w:r>
          </w:p>
        </w:tc>
        <w:tc>
          <w:tcPr>
            <w:tcW w:w="3331" w:type="dxa"/>
            <w:tcBorders/>
            <w:vAlign w:val="center"/>
          </w:tcPr>
          <w:p>
            <w:pPr>
              <w:pStyle w:val="Normal"/>
              <w:spacing w:before="0" w:after="0"/>
              <w:rPr>
                <w:color w:val="000000"/>
              </w:rPr>
            </w:pPr>
            <w:r>
              <w:rPr>
                <w:b w:val="false"/>
                <w:color w:val="000000"/>
                <w:sz w:val="17"/>
              </w:rPr>
              <w:br/>
              <w:t>________________________</w:t>
              <w:br/>
              <w:t>Datum / Unterschrift</w:t>
            </w:r>
          </w:p>
        </w:tc>
      </w:tr>
    </w:tbl>
    <w:p>
      <w:pPr>
        <w:pStyle w:val="Normal"/>
        <w:spacing w:before="0" w:after="20"/>
        <w:rPr>
          <w:color w:val="000000"/>
        </w:rPr>
      </w:pPr>
      <w:r>
        <w:rPr>
          <w:color w:val="000000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2240" w:h="15840"/>
      <w:pgMar w:left="1123" w:right="1123" w:gutter="0" w:header="720" w:top="979" w:footer="720" w:bottom="93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mbria"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Courier">
    <w:altName w:val="Courier New"/>
    <w:charset w:val="00" w:characterSet="windows-1252"/>
    <w:family w:val="roman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60" w:after="0"/>
      <w:jc w:val="center"/>
      <w:rPr/>
    </w:pPr>
    <w:r>
      <w:rPr>
        <w:color w:val="666666"/>
        <w:sz w:val="15"/>
      </w:rPr>
      <w:t xml:space="preserve">Copyright © Wundpfleger Peter  |  QM-Dokument  |  Version: 1.0  |  Stand: 27.10.2026  |  Seite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60" w:after="0"/>
      <w:jc w:val="center"/>
      <w:rPr/>
    </w:pPr>
    <w:r>
      <w:rPr>
        <w:color w:val="666666"/>
        <w:sz w:val="15"/>
      </w:rPr>
      <w:t xml:space="preserve">Copyright © Wundpfleger Peter  |  QM-Dokument  |  Version: 1.0  |  Stand: 27.10.2026  |  Seite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pBdr>
        <w:bottom w:val="single" w:sz="6" w:space="5" w:color="C9CDCD"/>
      </w:pBdr>
      <w:jc w:val="start"/>
      <w:rPr/>
    </w:pPr>
    <w:r>
      <w:rPr>
        <w:b/>
        <w:color w:val="000000"/>
        <w:sz w:val="22"/>
      </w:rPr>
      <w:t>WUNDPFLEGER PETER</w:t>
    </w:r>
    <w:r>
      <w:rPr>
        <w:sz w:val="18"/>
      </w:rPr>
      <w:t xml:space="preserve">   |   QM-Dokument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pBdr>
        <w:bottom w:val="single" w:sz="6" w:space="5" w:color="C9CDCD"/>
      </w:pBdr>
      <w:jc w:val="start"/>
      <w:rPr/>
    </w:pPr>
    <w:r>
      <w:rPr>
        <w:b/>
        <w:color w:val="000000"/>
        <w:sz w:val="22"/>
      </w:rPr>
      <w:t>WUNDPFLEGER PETER</w:t>
    </w:r>
    <w:r>
      <w:rPr>
        <w:sz w:val="18"/>
      </w:rPr>
      <w:t xml:space="preserve">   |   QM-Dokument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" w:cs="" w:asciiTheme="minorHAnsi" w:cstheme="minorBidi" w:eastAsiaTheme="minorEastAsia" w:hAnsiTheme="minorHAnsi"/>
        <w:sz w:val="22"/>
        <w:szCs w:val="22"/>
        <w:lang w:val="de-DE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40" w:before="0" w:after="60"/>
      <w:jc w:val="start"/>
    </w:pPr>
    <w:rPr>
      <w:rFonts w:ascii="Calibri" w:hAnsi="Calibri" w:eastAsia="ＭＳ 明朝" w:cs=""/>
      <w:color w:val="000000"/>
      <w:kern w:val="0"/>
      <w:sz w:val="18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" w:cs="" w:asciiTheme="majorHAnsi" w:cstheme="majorBidi" w:eastAsiaTheme="majorEastAsia" w:hAnsiTheme="majorHAns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" w:cs="" w:asciiTheme="majorHAnsi" w:cstheme="majorBidi" w:eastAsiaTheme="majorEastAsia" w:hAnsiTheme="majorHAns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" w:cs="" w:asciiTheme="majorHAnsi" w:cstheme="majorBidi" w:eastAsiaTheme="majorEastAsia" w:hAnsiTheme="majorHAns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character" w:styleId="Absatz-Standardschriftart">
    <w:name w:val="Absatz-Standardschriftart"/>
    <w:qFormat/>
    <w:rPr/>
  </w:style>
  <w:style w:type="character" w:styleId="WWCharLFO1LVL1">
    <w:name w:val="WW_CharLFO1LVL1"/>
    <w:qFormat/>
    <w:rPr>
      <w:rFonts w:ascii="OpenSymbol" w:hAnsi="OpenSymbol" w:eastAsia="OpenSymbol" w:cs="OpenSymbol"/>
    </w:rPr>
  </w:style>
  <w:style w:type="character" w:styleId="WWCharLFO1LVL2">
    <w:name w:val="WW_CharLFO1LVL2"/>
    <w:qFormat/>
    <w:rPr>
      <w:rFonts w:ascii="OpenSymbol" w:hAnsi="OpenSymbol" w:eastAsia="OpenSymbol" w:cs="OpenSymbol"/>
    </w:rPr>
  </w:style>
  <w:style w:type="character" w:styleId="WWCharLFO1LVL3">
    <w:name w:val="WW_CharLFO1LVL3"/>
    <w:qFormat/>
    <w:rPr>
      <w:rFonts w:ascii="OpenSymbol" w:hAnsi="OpenSymbol" w:eastAsia="OpenSymbol" w:cs="OpenSymbol"/>
    </w:rPr>
  </w:style>
  <w:style w:type="character" w:styleId="WWCharLFO1LVL4">
    <w:name w:val="WW_CharLFO1LVL4"/>
    <w:qFormat/>
    <w:rPr>
      <w:rFonts w:ascii="OpenSymbol" w:hAnsi="OpenSymbol" w:eastAsia="OpenSymbol" w:cs="OpenSymbol"/>
    </w:rPr>
  </w:style>
  <w:style w:type="character" w:styleId="WWCharLFO1LVL5">
    <w:name w:val="WW_CharLFO1LVL5"/>
    <w:qFormat/>
    <w:rPr>
      <w:rFonts w:ascii="OpenSymbol" w:hAnsi="OpenSymbol" w:eastAsia="OpenSymbol" w:cs="OpenSymbol"/>
    </w:rPr>
  </w:style>
  <w:style w:type="character" w:styleId="WWCharLFO1LVL6">
    <w:name w:val="WW_CharLFO1LVL6"/>
    <w:qFormat/>
    <w:rPr>
      <w:rFonts w:ascii="OpenSymbol" w:hAnsi="OpenSymbol" w:eastAsia="OpenSymbol" w:cs="OpenSymbol"/>
    </w:rPr>
  </w:style>
  <w:style w:type="character" w:styleId="WWCharLFO1LVL7">
    <w:name w:val="WW_CharLFO1LVL7"/>
    <w:qFormat/>
    <w:rPr>
      <w:rFonts w:ascii="OpenSymbol" w:hAnsi="OpenSymbol" w:eastAsia="OpenSymbol" w:cs="OpenSymbol"/>
    </w:rPr>
  </w:style>
  <w:style w:type="character" w:styleId="WWCharLFO1LVL8">
    <w:name w:val="WW_CharLFO1LVL8"/>
    <w:qFormat/>
    <w:rPr>
      <w:rFonts w:ascii="OpenSymbol" w:hAnsi="OpenSymbol" w:eastAsia="OpenSymbol" w:cs="OpenSymbol"/>
    </w:rPr>
  </w:style>
  <w:style w:type="character" w:styleId="WWCharLFO1LVL9">
    <w:name w:val="WW_CharLFO1LVL9"/>
    <w:qFormat/>
    <w:rPr>
      <w:rFonts w:ascii="OpenSymbol" w:hAnsi="OpenSymbol" w:eastAsia="OpenSymbol" w:cs="OpenSymbol"/>
    </w:rPr>
  </w:style>
  <w:style w:type="character" w:styleId="Aufzhlungszeichen">
    <w:name w:val="Aufzählungszeichen"/>
    <w:qFormat/>
    <w:rPr>
      <w:rFonts w:ascii="OpenSymbol" w:hAnsi="OpenSymbol" w:eastAsia="OpenSymbol" w:cs="OpenSymbol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Verzeichnis">
    <w:name w:val="Verzeichnis"/>
    <w:basedOn w:val="Normal"/>
    <w:qFormat/>
    <w:pPr>
      <w:suppressLineNumbers/>
    </w:pPr>
    <w:rPr>
      <w:rFonts w:cs="Arial"/>
    </w:rPr>
  </w:style>
  <w:style w:type="paragraph" w:styleId="berschriftuser">
    <w:name w:val="Überschrift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Verzeichnisuser">
    <w:name w:val="Verzeichnis (user)"/>
    <w:basedOn w:val="Normal"/>
    <w:qFormat/>
    <w:pPr>
      <w:suppressLineNumbers/>
    </w:pPr>
    <w:rPr>
      <w:rFonts w:cs="Arial"/>
    </w:rPr>
  </w:style>
  <w:style w:type="paragraph" w:styleId="Kopf-Fuzeile">
    <w:name w:val="Kopf-/Fußzeile"/>
    <w:basedOn w:val="Normal"/>
    <w:qFormat/>
    <w:pPr/>
    <w:rPr/>
  </w:style>
  <w:style w:type="paragraph" w:styleId="Kopf-Fuzeileuser">
    <w:name w:val="Kopf-/Fußzeile (user)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star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" w:cs="" w:asciiTheme="majorHAnsi" w:cstheme="majorBidi" w:eastAsiaTheme="majorEastAsia" w:hAnsiTheme="majorHAnsi"/>
      <w:b/>
      <w:color w:val="000000"/>
      <w:spacing w:val="5"/>
      <w:kern w:val="2"/>
      <w:sz w:val="44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star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start"/>
    </w:pPr>
    <w:rPr>
      <w:rFonts w:ascii="Courier" w:hAnsi="Courier" w:eastAsia="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berschrift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paragraph" w:styleId="Tabelleninhalt">
    <w:name w:val="Tabelleninhalt"/>
    <w:basedOn w:val="Normal"/>
    <w:qFormat/>
    <w:pPr>
      <w:widowControl w:val="false"/>
      <w:suppressLineNumbers/>
      <w:spacing w:lineRule="auto" w:line="240"/>
    </w:pPr>
    <w:rPr/>
  </w:style>
  <w:style w:type="paragraph" w:styleId="Tabellenberschrift">
    <w:name w:val="Tabellenüberschrift"/>
    <w:basedOn w:val="Tabelleninhalt"/>
    <w:qFormat/>
    <w:pPr>
      <w:suppressLineNumbers/>
      <w:jc w:val="center"/>
    </w:pPr>
    <w:rPr>
      <w:b/>
      <w:bCs/>
    </w:rPr>
  </w:style>
  <w:style w:type="numbering" w:styleId="KeineListe" w:default="1">
    <w:name w:val="Keine Liste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Application>LibreOffice/26.2.6.3$Windows_X86_64 LibreOffice_project/8221e31b3ac356a1623c672912a3d2b492f7e3d1</Application>
  <AppVersion>15.0000</AppVersion>
  <Pages>2</Pages>
  <Words>664</Words>
  <Characters>5070</Characters>
  <CharactersWithSpaces>5670</CharactersWithSpaces>
  <Paragraphs>89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Wundmanagement / Qualitätsmanagement</dc:creator>
  <dc:description>generated by python-docx</dc:description>
  <dc:language>de-DE</dc:language>
  <cp:lastModifiedBy>Peter Churs</cp:lastModifiedBy>
  <dcterms:modified xsi:type="dcterms:W3CDTF">2026-10-27T17:11:13Z</dcterms:modified>
  <cp:revision>7</cp:revision>
  <dc:subject>Prävention und Therapie der Inkontinenz-assoziierten Dermatitis</dc:subject>
  <dc:title>Klinischer Verfahrensstandard (SOP) – Prävention und Therapie der Inkontinenz-assoziierten Dermatitis (IAD)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