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color w:val="5A5A5A"/>
          <w:sz w:val="18"/>
        </w:rPr>
        <w:t>QUALITÄTSMANAGEMENT</w:t>
      </w:r>
    </w:p>
    <w:p>
      <w:pPr>
        <w:pStyle w:val="Normal"/>
        <w:jc w:val="start"/>
        <w:rPr>
          <w:rFonts w:ascii="Calibri" w:hAnsi="Calibri"/>
          <w:b/>
          <w:bCs/>
          <w:sz w:val="44"/>
          <w:szCs w:val="44"/>
          <w:u w:val="single"/>
        </w:rPr>
      </w:pPr>
      <w:r>
        <w:rPr>
          <w:rFonts w:ascii="Calibri" w:hAnsi="Calibri"/>
          <w:b/>
          <w:bCs/>
          <w:sz w:val="44"/>
          <w:szCs w:val="44"/>
          <w:u w:val="single"/>
        </w:rPr>
        <w:t>Standard Nass-Trockenphase</w:t>
      </w:r>
    </w:p>
    <w:p>
      <w:pPr>
        <w:pStyle w:val="Normal"/>
        <w:spacing w:before="0" w:after="280"/>
        <w:rPr/>
      </w:pPr>
      <w:r>
        <w:rPr>
          <w:i/>
          <w:color w:val="464646"/>
          <w:sz w:val="20"/>
        </w:rPr>
        <w:t xml:space="preserve">QM-Vorlage </w:t>
      </w:r>
    </w:p>
    <w:tbl>
      <w:tblPr>
        <w:tblW w:w="963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408"/>
        <w:gridCol w:w="2408"/>
        <w:gridCol w:w="2408"/>
        <w:gridCol w:w="2408"/>
      </w:tblGrid>
      <w:tr>
        <w:trPr/>
        <w:tc>
          <w:tcPr>
            <w:tcW w:w="2408" w:type="dxa"/>
            <w:tcBorders/>
            <w:shd w:fill="FAFAFA" w:val="clear"/>
            <w:vAlign w:val="center"/>
          </w:tcPr>
          <w:p>
            <w:pPr>
              <w:pStyle w:val="Normal"/>
              <w:widowControl/>
              <w:bidi w:val="0"/>
              <w:spacing w:lineRule="auto" w:line="276" w:before="0" w:after="200"/>
              <w:jc w:val="start"/>
              <w:rPr/>
            </w:pPr>
            <w:r>
              <w:rPr>
                <w:b/>
                <w:sz w:val="17"/>
              </w:rPr>
              <w:t>Dokument-Nr.</w:t>
            </w:r>
          </w:p>
        </w:tc>
        <w:tc>
          <w:tcPr>
            <w:tcW w:w="2408" w:type="dxa"/>
            <w:tcBorders/>
            <w:shd w:fill="FAFAFA" w:val="clear"/>
            <w:vAlign w:val="center"/>
          </w:tcPr>
          <w:p>
            <w:pPr>
              <w:pStyle w:val="Normal"/>
              <w:widowControl/>
              <w:bidi w:val="0"/>
              <w:spacing w:lineRule="auto" w:line="276" w:before="0" w:after="200"/>
              <w:jc w:val="start"/>
              <w:rPr/>
            </w:pPr>
            <w:r>
              <w:rPr>
                <w:b/>
                <w:sz w:val="17"/>
              </w:rPr>
              <w:t>Version</w:t>
            </w:r>
          </w:p>
        </w:tc>
        <w:tc>
          <w:tcPr>
            <w:tcW w:w="2408" w:type="dxa"/>
            <w:tcBorders/>
            <w:shd w:fill="FAFAFA" w:val="clear"/>
            <w:vAlign w:val="center"/>
          </w:tcPr>
          <w:p>
            <w:pPr>
              <w:pStyle w:val="Normal"/>
              <w:widowControl/>
              <w:bidi w:val="0"/>
              <w:spacing w:lineRule="auto" w:line="276" w:before="0" w:after="200"/>
              <w:jc w:val="start"/>
              <w:rPr/>
            </w:pPr>
            <w:r>
              <w:rPr>
                <w:b/>
                <w:sz w:val="17"/>
              </w:rPr>
              <w:t>Erstellt / geprüft</w:t>
            </w:r>
          </w:p>
        </w:tc>
        <w:tc>
          <w:tcPr>
            <w:tcW w:w="2408" w:type="dxa"/>
            <w:tcBorders/>
            <w:shd w:fill="FAFAFA" w:val="clear"/>
            <w:vAlign w:val="center"/>
          </w:tcPr>
          <w:p>
            <w:pPr>
              <w:pStyle w:val="Normal"/>
              <w:widowControl/>
              <w:bidi w:val="0"/>
              <w:spacing w:lineRule="auto" w:line="276" w:before="0" w:after="200"/>
              <w:jc w:val="start"/>
              <w:rPr/>
            </w:pPr>
            <w:r>
              <w:rPr>
                <w:b/>
                <w:sz w:val="17"/>
              </w:rPr>
              <w:t>Freigabe</w:t>
            </w:r>
          </w:p>
        </w:tc>
      </w:tr>
      <w:tr>
        <w:trPr/>
        <w:tc>
          <w:tcPr>
            <w:tcW w:w="2408" w:type="dxa"/>
            <w:tcBorders/>
            <w:shd w:fill="FAFAFA" w:val="clear"/>
          </w:tcPr>
          <w:p>
            <w:pPr>
              <w:pStyle w:val="Normal"/>
              <w:widowControl/>
              <w:bidi w:val="0"/>
              <w:spacing w:lineRule="auto" w:line="276" w:before="0" w:after="200"/>
              <w:jc w:val="start"/>
              <w:rPr/>
            </w:pPr>
            <w:r>
              <w:rPr>
                <w:sz w:val="18"/>
              </w:rPr>
              <w:t>QM-WP-001</w:t>
            </w:r>
          </w:p>
        </w:tc>
        <w:tc>
          <w:tcPr>
            <w:tcW w:w="2408" w:type="dxa"/>
            <w:tcBorders/>
            <w:shd w:fill="FAFAFA" w:val="clear"/>
          </w:tcPr>
          <w:p>
            <w:pPr>
              <w:pStyle w:val="Normal"/>
              <w:widowControl/>
              <w:bidi w:val="0"/>
              <w:spacing w:lineRule="auto" w:line="276" w:before="0" w:after="200"/>
              <w:jc w:val="start"/>
              <w:rPr/>
            </w:pPr>
            <w:r>
              <w:rPr>
                <w:sz w:val="18"/>
              </w:rPr>
              <w:t>1.0</w:t>
            </w:r>
          </w:p>
        </w:tc>
        <w:tc>
          <w:tcPr>
            <w:tcW w:w="2408" w:type="dxa"/>
            <w:tcBorders/>
            <w:shd w:fill="FAFAFA" w:val="clear"/>
          </w:tcPr>
          <w:p>
            <w:pPr>
              <w:pStyle w:val="Normal"/>
              <w:widowControl/>
              <w:bidi w:val="0"/>
              <w:spacing w:lineRule="auto" w:line="276" w:before="0" w:after="200"/>
              <w:jc w:val="start"/>
              <w:rPr/>
            </w:pPr>
            <w:r>
              <w:rPr>
                <w:sz w:val="18"/>
              </w:rPr>
              <w:t>____________</w:t>
            </w:r>
          </w:p>
        </w:tc>
        <w:tc>
          <w:tcPr>
            <w:tcW w:w="2408" w:type="dxa"/>
            <w:tcBorders/>
            <w:shd w:fill="FAFAFA" w:val="clear"/>
          </w:tcPr>
          <w:p>
            <w:pPr>
              <w:pStyle w:val="Normal"/>
              <w:widowControl/>
              <w:bidi w:val="0"/>
              <w:spacing w:lineRule="auto" w:line="276" w:before="0" w:after="200"/>
              <w:jc w:val="start"/>
              <w:rPr/>
            </w:pPr>
            <w:r>
              <w:rPr>
                <w:sz w:val="18"/>
              </w:rPr>
              <w:t>____________</w:t>
            </w:r>
          </w:p>
        </w:tc>
      </w:tr>
    </w:tbl>
    <w:p>
      <w:pPr>
        <w:pStyle w:val="Normal"/>
        <w:rPr/>
      </w:pPr>
      <w:r>
        <w:rPr/>
      </w:r>
    </w:p>
    <w:tbl>
      <w:tblPr>
        <w:tblW w:w="9360" w:type="dxa"/>
        <w:jc w:val="center"/>
        <w:tblInd w:w="0" w:type="dxa"/>
        <w:tblLayout w:type="fixed"/>
        <w:tblCellMar>
          <w:top w:w="100" w:type="dxa"/>
          <w:start w:w="150" w:type="dxa"/>
          <w:bottom w:w="100" w:type="dxa"/>
          <w:end w:w="150" w:type="dxa"/>
        </w:tblCellMar>
        <w:tblLook w:val="04a0" w:firstRow="1" w:noVBand="1" w:lastRow="0" w:firstColumn="1" w:lastColumn="0" w:noHBand="0"/>
      </w:tblPr>
      <w:tblGrid>
        <w:gridCol w:w="3168"/>
        <w:gridCol w:w="6192"/>
      </w:tblGrid>
      <w:tr>
        <w:trPr/>
        <w:tc>
          <w:tcPr>
            <w:tcW w:w="3168" w:type="dxa"/>
            <w:tcBorders>
              <w:top w:val="single" w:sz="4" w:space="0" w:color="CCCCCC"/>
              <w:start w:val="single" w:sz="4" w:space="0" w:color="CCCCCC"/>
              <w:bottom w:val="single" w:sz="4" w:space="0" w:color="CCCCCC"/>
              <w:end w:val="single" w:sz="4" w:space="0" w:color="CCCCCC"/>
            </w:tcBorders>
            <w:shd w:fill="F2F5F8" w:val="clear"/>
          </w:tcPr>
          <w:p>
            <w:pPr>
              <w:pStyle w:val="Normal"/>
              <w:spacing w:before="0" w:after="200"/>
              <w:rPr/>
            </w:pPr>
            <w:r>
              <w:rPr>
                <w:b/>
              </w:rPr>
              <w:t>Zielsetzung</w:t>
            </w:r>
          </w:p>
        </w:tc>
        <w:tc>
          <w:tcPr>
            <w:tcW w:w="6192" w:type="dxa"/>
            <w:tcBorders>
              <w:top w:val="single" w:sz="4" w:space="0" w:color="CCCCCC"/>
              <w:start w:val="single" w:sz="4" w:space="0" w:color="CCCCCC"/>
              <w:bottom w:val="single" w:sz="4" w:space="0" w:color="CCCCCC"/>
              <w:end w:val="single" w:sz="4" w:space="0" w:color="CCCCCC"/>
            </w:tcBorders>
          </w:tcPr>
          <w:p>
            <w:pPr>
              <w:pStyle w:val="ListBullet"/>
              <w:numPr>
                <w:ilvl w:val="0"/>
                <w:numId w:val="1"/>
              </w:numPr>
              <w:spacing w:before="0" w:after="40"/>
              <w:contextualSpacing/>
              <w:rPr/>
            </w:pPr>
            <w:r>
              <w:rPr/>
              <w:t>Beseitigung wundheilungshemmender Bestandteile (z. B. schädliche Mikroorganismen, Detritus)</w:t>
            </w:r>
          </w:p>
          <w:p>
            <w:pPr>
              <w:pStyle w:val="ListBullet"/>
              <w:numPr>
                <w:ilvl w:val="0"/>
                <w:numId w:val="1"/>
              </w:numPr>
              <w:spacing w:before="0" w:after="40"/>
              <w:contextualSpacing/>
              <w:rPr/>
            </w:pPr>
            <w:r>
              <w:rPr/>
              <w:t>Zerstörung und Ablösung eines bestehenden Biofilms</w:t>
            </w:r>
          </w:p>
          <w:p>
            <w:pPr>
              <w:pStyle w:val="ListBullet"/>
              <w:numPr>
                <w:ilvl w:val="0"/>
                <w:numId w:val="1"/>
              </w:numPr>
              <w:spacing w:before="0" w:after="40"/>
              <w:contextualSpacing/>
              <w:rPr/>
            </w:pPr>
            <w:r>
              <w:rPr/>
              <w:t>Aufweichung und Beseitigung von avitalem Gewebe und Hyperkeratosen</w:t>
            </w:r>
          </w:p>
          <w:p>
            <w:pPr>
              <w:pStyle w:val="ListBullet"/>
              <w:numPr>
                <w:ilvl w:val="0"/>
                <w:numId w:val="1"/>
              </w:numPr>
              <w:spacing w:before="0" w:after="40"/>
              <w:contextualSpacing/>
              <w:rPr/>
            </w:pPr>
            <w:r>
              <w:rPr/>
              <w:t>Rehydrierung von trockenen Nekrosen und Fibrinbelägen</w:t>
            </w:r>
          </w:p>
          <w:p>
            <w:pPr>
              <w:pStyle w:val="ListBullet"/>
              <w:numPr>
                <w:ilvl w:val="0"/>
                <w:numId w:val="1"/>
              </w:numPr>
              <w:spacing w:before="0" w:after="40"/>
              <w:contextualSpacing/>
              <w:rPr/>
            </w:pPr>
            <w:r>
              <w:rPr/>
              <w:t>Infektionsprophylaxe (Verhinderung einer kritischen Keimbesiedelung)</w:t>
            </w:r>
          </w:p>
          <w:p>
            <w:pPr>
              <w:pStyle w:val="ListBullet"/>
              <w:numPr>
                <w:ilvl w:val="0"/>
                <w:numId w:val="1"/>
              </w:numPr>
              <w:spacing w:before="0" w:after="40"/>
              <w:contextualSpacing/>
              <w:rPr/>
            </w:pPr>
            <w:r>
              <w:rPr/>
              <w:t>Mechanische Wundreinigung (Spülen/Auswischen)</w:t>
            </w:r>
          </w:p>
          <w:p>
            <w:pPr>
              <w:pStyle w:val="ListBullet"/>
              <w:numPr>
                <w:ilvl w:val="0"/>
                <w:numId w:val="1"/>
              </w:numPr>
              <w:spacing w:before="0" w:after="40"/>
              <w:contextualSpacing/>
              <w:rPr/>
            </w:pPr>
            <w:r>
              <w:rPr>
                <w:b w:val="false"/>
                <w:bCs w:val="false"/>
                <w:sz w:val="21"/>
                <w:szCs w:val="21"/>
                <w:u w:val="none"/>
              </w:rPr>
              <w:t>Linderung von Schmerzen, Pruritus (Juckreiz) und Wundgeruch</w:t>
            </w:r>
          </w:p>
        </w:tc>
      </w:tr>
    </w:tbl>
    <w:p>
      <w:pPr>
        <w:pStyle w:val="Normal"/>
        <w:spacing w:before="0" w:after="200"/>
        <w:rPr/>
      </w:pPr>
      <w:r>
        <w:rPr/>
      </w:r>
    </w:p>
    <w:p>
      <w:pPr>
        <w:pStyle w:val="Normal"/>
        <w:keepNext w:val="true"/>
        <w:spacing w:before="280" w:after="120"/>
        <w:rPr/>
      </w:pPr>
      <w:r>
        <w:rPr>
          <w:b/>
          <w:color w:val="003366"/>
          <w:sz w:val="26"/>
        </w:rPr>
        <w:t>Produkte und Anwendungsdauer</w:t>
      </w:r>
    </w:p>
    <w:tbl>
      <w:tblPr>
        <w:tblW w:w="9630" w:type="dxa"/>
        <w:jc w:val="start"/>
        <w:tblInd w:w="55" w:type="dxa"/>
        <w:tblLayout w:type="fixed"/>
        <w:tblCellMar>
          <w:top w:w="55" w:type="dxa"/>
          <w:start w:w="55" w:type="dxa"/>
          <w:bottom w:w="55" w:type="dxa"/>
          <w:end w:w="55" w:type="dxa"/>
        </w:tblCellMar>
      </w:tblPr>
      <w:tblGrid>
        <w:gridCol w:w="3569"/>
        <w:gridCol w:w="6061"/>
      </w:tblGrid>
      <w:tr>
        <w:trPr/>
        <w:tc>
          <w:tcPr>
            <w:tcW w:w="3569" w:type="dxa"/>
            <w:tcBorders>
              <w:top w:val="single" w:sz="4" w:space="0" w:color="000000"/>
              <w:start w:val="single" w:sz="4" w:space="0" w:color="000000"/>
              <w:bottom w:val="single" w:sz="4" w:space="0" w:color="000000"/>
            </w:tcBorders>
          </w:tcPr>
          <w:p>
            <w:pPr>
              <w:pStyle w:val="Normal"/>
              <w:rPr/>
            </w:pPr>
            <w:r>
              <w:rPr>
                <w:b/>
              </w:rPr>
              <w:t>Wirkstoff / Produktbeispiel</w:t>
            </w:r>
          </w:p>
        </w:tc>
        <w:tc>
          <w:tcPr>
            <w:tcW w:w="6061" w:type="dxa"/>
            <w:tcBorders>
              <w:top w:val="single" w:sz="4" w:space="0" w:color="000000"/>
              <w:start w:val="single" w:sz="4" w:space="0" w:color="000000"/>
              <w:bottom w:val="single" w:sz="4" w:space="0" w:color="000000"/>
              <w:end w:val="single" w:sz="4" w:space="0" w:color="000000"/>
            </w:tcBorders>
          </w:tcPr>
          <w:p>
            <w:pPr>
              <w:pStyle w:val="Normal"/>
              <w:rPr/>
            </w:pPr>
            <w:r>
              <w:rPr>
                <w:b/>
              </w:rPr>
              <w:t>Anwendungsdauer / Besonderheiten</w:t>
            </w:r>
          </w:p>
        </w:tc>
      </w:tr>
      <w:tr>
        <w:trPr/>
        <w:tc>
          <w:tcPr>
            <w:tcW w:w="3569" w:type="dxa"/>
            <w:tcBorders>
              <w:start w:val="single" w:sz="4" w:space="0" w:color="000000"/>
              <w:bottom w:val="single" w:sz="4" w:space="0" w:color="000000"/>
            </w:tcBorders>
          </w:tcPr>
          <w:p>
            <w:pPr>
              <w:pStyle w:val="Normal"/>
              <w:rPr/>
            </w:pPr>
            <w:r>
              <w:rPr/>
              <w:t>PVP-Iod</w:t>
              <w:br/>
              <w:t>(z. B. Braunovidon®)</w:t>
            </w:r>
          </w:p>
        </w:tc>
        <w:tc>
          <w:tcPr>
            <w:tcW w:w="6061" w:type="dxa"/>
            <w:tcBorders>
              <w:start w:val="single" w:sz="4" w:space="0" w:color="000000"/>
              <w:bottom w:val="single" w:sz="4" w:space="0" w:color="000000"/>
              <w:end w:val="single" w:sz="4" w:space="0" w:color="000000"/>
            </w:tcBorders>
          </w:tcPr>
          <w:p>
            <w:pPr>
              <w:pStyle w:val="Normal"/>
              <w:rPr/>
            </w:pPr>
            <w:r>
              <w:rPr/>
              <w:t>Kurzzeitige Anwendung (max. 6–14 Tage).</w:t>
              <w:br/>
              <w:t>Kontraindikation: Schilddrüsenerkrankungen. Wirksamkeitsverlust bei Eiweiß/Blut.</w:t>
            </w:r>
          </w:p>
        </w:tc>
      </w:tr>
      <w:tr>
        <w:trPr/>
        <w:tc>
          <w:tcPr>
            <w:tcW w:w="3569" w:type="dxa"/>
            <w:tcBorders>
              <w:start w:val="single" w:sz="4" w:space="0" w:color="000000"/>
              <w:bottom w:val="single" w:sz="4" w:space="0" w:color="000000"/>
            </w:tcBorders>
          </w:tcPr>
          <w:p>
            <w:pPr>
              <w:pStyle w:val="Normal"/>
              <w:rPr/>
            </w:pPr>
            <w:r>
              <w:rPr/>
              <w:t>Octenidindihydrochlorid</w:t>
              <w:br/>
              <w:t>(z. B. Octenisept®)</w:t>
            </w:r>
          </w:p>
        </w:tc>
        <w:tc>
          <w:tcPr>
            <w:tcW w:w="6061" w:type="dxa"/>
            <w:tcBorders>
              <w:start w:val="single" w:sz="4" w:space="0" w:color="000000"/>
              <w:bottom w:val="single" w:sz="4" w:space="0" w:color="000000"/>
              <w:end w:val="single" w:sz="4" w:space="0" w:color="000000"/>
            </w:tcBorders>
          </w:tcPr>
          <w:p>
            <w:pPr>
              <w:pStyle w:val="Normal"/>
              <w:rPr/>
            </w:pPr>
            <w:r>
              <w:rPr/>
              <w:t>Kurzzeitige Anwendung (max. 14 Tage).</w:t>
              <w:br/>
              <w:t>WICHTIGER WARNHINWEIS: Nur oberflächlich anwenden! Nicht unter Druck in tiefe Wunden/Fisteln einbringen (Gefahr von Gewebeschäden/Toxizität).</w:t>
            </w:r>
          </w:p>
        </w:tc>
      </w:tr>
      <w:tr>
        <w:trPr/>
        <w:tc>
          <w:tcPr>
            <w:tcW w:w="3569" w:type="dxa"/>
            <w:tcBorders>
              <w:start w:val="single" w:sz="4" w:space="0" w:color="000000"/>
              <w:bottom w:val="single" w:sz="4" w:space="0" w:color="000000"/>
            </w:tcBorders>
          </w:tcPr>
          <w:p>
            <w:pPr>
              <w:pStyle w:val="Normal"/>
              <w:rPr/>
            </w:pPr>
            <w:r>
              <w:rPr/>
              <w:t>Polyhexanid (PHMB)</w:t>
              <w:br/>
              <w:t>(z. B. Lavanid®, Prontosan®)</w:t>
            </w:r>
          </w:p>
        </w:tc>
        <w:tc>
          <w:tcPr>
            <w:tcW w:w="6061" w:type="dxa"/>
            <w:tcBorders>
              <w:start w:val="single" w:sz="4" w:space="0" w:color="000000"/>
              <w:bottom w:val="single" w:sz="4" w:space="0" w:color="000000"/>
              <w:end w:val="single" w:sz="4" w:space="0" w:color="000000"/>
            </w:tcBorders>
          </w:tcPr>
          <w:p>
            <w:pPr>
              <w:pStyle w:val="Normal"/>
              <w:rPr/>
            </w:pPr>
            <w:r>
              <w:rPr/>
              <w:t>Für die wiederholte und langfristige Anwendung geeignet. Hervorragende Gewebeverträglichkeit.</w:t>
            </w:r>
          </w:p>
        </w:tc>
      </w:tr>
      <w:tr>
        <w:trPr/>
        <w:tc>
          <w:tcPr>
            <w:tcW w:w="3569" w:type="dxa"/>
            <w:tcBorders>
              <w:start w:val="single" w:sz="4" w:space="0" w:color="000000"/>
              <w:bottom w:val="single" w:sz="4" w:space="0" w:color="000000"/>
            </w:tcBorders>
          </w:tcPr>
          <w:p>
            <w:pPr>
              <w:pStyle w:val="Normal"/>
              <w:rPr/>
            </w:pPr>
            <w:r>
              <w:rPr/>
              <w:t>Hypochlorige Säure (HOCl)</w:t>
              <w:br/>
              <w:t>(z. B. ActiMaris®, Kerrasol®)</w:t>
            </w:r>
          </w:p>
        </w:tc>
        <w:tc>
          <w:tcPr>
            <w:tcW w:w="6061" w:type="dxa"/>
            <w:tcBorders>
              <w:start w:val="single" w:sz="4" w:space="0" w:color="000000"/>
              <w:bottom w:val="single" w:sz="4" w:space="0" w:color="000000"/>
              <w:end w:val="single" w:sz="4" w:space="0" w:color="000000"/>
            </w:tcBorders>
          </w:tcPr>
          <w:p>
            <w:pPr>
              <w:pStyle w:val="Normal"/>
              <w:rPr/>
            </w:pPr>
            <w:r>
              <w:rPr/>
              <w:t>Für die wiederholte Anwendung geeignet. Stark biofilmauflösend und geruchsmindernd.</w:t>
            </w:r>
          </w:p>
        </w:tc>
      </w:tr>
      <w:tr>
        <w:trPr/>
        <w:tc>
          <w:tcPr>
            <w:tcW w:w="3569" w:type="dxa"/>
            <w:tcBorders>
              <w:start w:val="single" w:sz="4" w:space="0" w:color="000000"/>
              <w:bottom w:val="single" w:sz="4" w:space="0" w:color="000000"/>
            </w:tcBorders>
          </w:tcPr>
          <w:p>
            <w:pPr>
              <w:pStyle w:val="Normal"/>
              <w:rPr/>
            </w:pPr>
            <w:r>
              <w:rPr/>
              <w:t>Kristalloide Spüllösungen</w:t>
              <w:br/>
              <w:t>(Ringerlösung, NaCl 0,9 %)</w:t>
            </w:r>
          </w:p>
        </w:tc>
        <w:tc>
          <w:tcPr>
            <w:tcW w:w="6061" w:type="dxa"/>
            <w:tcBorders>
              <w:start w:val="single" w:sz="4" w:space="0" w:color="000000"/>
              <w:bottom w:val="single" w:sz="4" w:space="0" w:color="000000"/>
              <w:end w:val="single" w:sz="4" w:space="0" w:color="000000"/>
            </w:tcBorders>
          </w:tcPr>
          <w:p>
            <w:pPr>
              <w:pStyle w:val="Normal"/>
              <w:rPr/>
            </w:pPr>
            <w:r>
              <w:rPr/>
              <w:t>Zur rein mechanischen Spülung. Beliebig oft und zeitlich unbegrenzt einsetzbar. Keine antiseptische Wirkung.</w:t>
            </w:r>
          </w:p>
        </w:tc>
      </w:tr>
    </w:tbl>
    <w:p>
      <w:pPr>
        <w:pStyle w:val="Normal"/>
        <w:numPr>
          <w:ilvl w:val="0"/>
          <w:numId w:val="0"/>
        </w:numPr>
        <w:ind w:hanging="0" w:start="0"/>
        <w:rPr/>
      </w:pPr>
      <w:r>
        <w:rPr/>
      </w:r>
    </w:p>
    <w:p>
      <w:pPr>
        <w:pStyle w:val="Normal"/>
        <w:rPr>
          <w:b/>
          <w:bCs/>
          <w:color w:val="003366"/>
          <w:sz w:val="26"/>
          <w:szCs w:val="26"/>
        </w:rPr>
      </w:pPr>
      <w:r>
        <w:rPr>
          <w:b/>
          <w:bCs/>
          <w:color w:val="003366"/>
          <w:sz w:val="26"/>
          <w:szCs w:val="26"/>
        </w:rPr>
      </w:r>
    </w:p>
    <w:p>
      <w:pPr>
        <w:pStyle w:val="Normal"/>
        <w:rPr>
          <w:b/>
          <w:bCs/>
          <w:color w:val="003366"/>
          <w:sz w:val="26"/>
          <w:szCs w:val="26"/>
        </w:rPr>
      </w:pPr>
      <w:r>
        <w:rPr>
          <w:b/>
          <w:bCs/>
          <w:color w:val="003366"/>
          <w:sz w:val="26"/>
          <w:szCs w:val="26"/>
        </w:rPr>
        <w:t>Einwirkzeit</w:t>
      </w:r>
    </w:p>
    <w:tbl>
      <w:tblPr>
        <w:tblW w:w="9630" w:type="dxa"/>
        <w:jc w:val="start"/>
        <w:tblInd w:w="55" w:type="dxa"/>
        <w:tblLayout w:type="fixed"/>
        <w:tblCellMar>
          <w:top w:w="55" w:type="dxa"/>
          <w:start w:w="55" w:type="dxa"/>
          <w:bottom w:w="55" w:type="dxa"/>
          <w:end w:w="55" w:type="dxa"/>
        </w:tblCellMar>
      </w:tblPr>
      <w:tblGrid>
        <w:gridCol w:w="2210"/>
        <w:gridCol w:w="4211"/>
        <w:gridCol w:w="3209"/>
      </w:tblGrid>
      <w:tr>
        <w:trPr/>
        <w:tc>
          <w:tcPr>
            <w:tcW w:w="2210" w:type="dxa"/>
            <w:tcBorders>
              <w:top w:val="single" w:sz="4" w:space="0" w:color="000000"/>
              <w:start w:val="single" w:sz="4" w:space="0" w:color="000000"/>
              <w:bottom w:val="single" w:sz="4" w:space="0" w:color="000000"/>
            </w:tcBorders>
          </w:tcPr>
          <w:p>
            <w:pPr>
              <w:pStyle w:val="Normal"/>
              <w:rPr/>
            </w:pPr>
            <w:r>
              <w:rPr>
                <w:b/>
              </w:rPr>
              <w:t>Produktgruppe</w:t>
            </w:r>
          </w:p>
        </w:tc>
        <w:tc>
          <w:tcPr>
            <w:tcW w:w="4211" w:type="dxa"/>
            <w:tcBorders>
              <w:top w:val="single" w:sz="4" w:space="0" w:color="000000"/>
              <w:start w:val="single" w:sz="4" w:space="0" w:color="000000"/>
              <w:bottom w:val="single" w:sz="4" w:space="0" w:color="000000"/>
            </w:tcBorders>
          </w:tcPr>
          <w:p>
            <w:pPr>
              <w:pStyle w:val="Normal"/>
              <w:rPr/>
            </w:pPr>
            <w:r>
              <w:rPr>
                <w:b/>
              </w:rPr>
              <w:t>Angestrebtes Ziel</w:t>
            </w:r>
          </w:p>
        </w:tc>
        <w:tc>
          <w:tcPr>
            <w:tcW w:w="3209" w:type="dxa"/>
            <w:tcBorders>
              <w:top w:val="single" w:sz="4" w:space="0" w:color="000000"/>
              <w:start w:val="single" w:sz="4" w:space="0" w:color="000000"/>
              <w:bottom w:val="single" w:sz="4" w:space="0" w:color="000000"/>
              <w:end w:val="single" w:sz="4" w:space="0" w:color="000000"/>
            </w:tcBorders>
          </w:tcPr>
          <w:p>
            <w:pPr>
              <w:pStyle w:val="Normal"/>
              <w:rPr/>
            </w:pPr>
            <w:r>
              <w:rPr>
                <w:b/>
              </w:rPr>
              <w:t>Einwirkzeit</w:t>
            </w:r>
          </w:p>
        </w:tc>
      </w:tr>
      <w:tr>
        <w:trPr/>
        <w:tc>
          <w:tcPr>
            <w:tcW w:w="2210" w:type="dxa"/>
            <w:tcBorders>
              <w:start w:val="single" w:sz="4" w:space="0" w:color="000000"/>
              <w:bottom w:val="single" w:sz="4" w:space="0" w:color="000000"/>
            </w:tcBorders>
          </w:tcPr>
          <w:p>
            <w:pPr>
              <w:pStyle w:val="Normal"/>
              <w:rPr/>
            </w:pPr>
            <w:r>
              <w:rPr/>
              <w:t>Antiseptika / Wundspüllösungen</w:t>
              <w:br/>
              <w:t>(PHMB, HOCl, Octenidin)</w:t>
            </w:r>
          </w:p>
        </w:tc>
        <w:tc>
          <w:tcPr>
            <w:tcW w:w="4211" w:type="dxa"/>
            <w:tcBorders>
              <w:start w:val="single" w:sz="4" w:space="0" w:color="000000"/>
              <w:bottom w:val="single" w:sz="4" w:space="0" w:color="000000"/>
            </w:tcBorders>
          </w:tcPr>
          <w:p>
            <w:pPr>
              <w:pStyle w:val="Normal"/>
              <w:rPr/>
            </w:pPr>
            <w:r>
              <w:rPr/>
              <w:t xml:space="preserve">• </w:t>
            </w:r>
            <w:r>
              <w:rPr/>
              <w:t>Rein mechanische Wundreinigung</w:t>
            </w:r>
          </w:p>
        </w:tc>
        <w:tc>
          <w:tcPr>
            <w:tcW w:w="3209" w:type="dxa"/>
            <w:tcBorders>
              <w:start w:val="single" w:sz="4" w:space="0" w:color="000000"/>
              <w:bottom w:val="single" w:sz="4" w:space="0" w:color="000000"/>
              <w:end w:val="single" w:sz="4" w:space="0" w:color="000000"/>
            </w:tcBorders>
          </w:tcPr>
          <w:p>
            <w:pPr>
              <w:pStyle w:val="Normal"/>
              <w:rPr/>
            </w:pPr>
            <w:r>
              <w:rPr/>
              <w:t>1–2 min</w:t>
            </w:r>
          </w:p>
        </w:tc>
      </w:tr>
      <w:tr>
        <w:trPr/>
        <w:tc>
          <w:tcPr>
            <w:tcW w:w="2210" w:type="dxa"/>
            <w:tcBorders>
              <w:start w:val="single" w:sz="4" w:space="0" w:color="000000"/>
              <w:bottom w:val="single" w:sz="4" w:space="0" w:color="000000"/>
            </w:tcBorders>
          </w:tcPr>
          <w:p>
            <w:pPr>
              <w:pStyle w:val="Normal"/>
              <w:rPr/>
            </w:pPr>
            <w:r>
              <w:rPr/>
            </w:r>
          </w:p>
        </w:tc>
        <w:tc>
          <w:tcPr>
            <w:tcW w:w="4211" w:type="dxa"/>
            <w:tcBorders>
              <w:start w:val="single" w:sz="4" w:space="0" w:color="000000"/>
              <w:bottom w:val="single" w:sz="4" w:space="0" w:color="000000"/>
            </w:tcBorders>
          </w:tcPr>
          <w:p>
            <w:pPr>
              <w:pStyle w:val="Normal"/>
              <w:rPr/>
            </w:pPr>
            <w:r>
              <w:rPr/>
              <w:t xml:space="preserve">• </w:t>
            </w:r>
            <w:r>
              <w:rPr/>
              <w:t>Keimreduktion (Remanenzeffekt)</w:t>
            </w:r>
          </w:p>
        </w:tc>
        <w:tc>
          <w:tcPr>
            <w:tcW w:w="3209" w:type="dxa"/>
            <w:tcBorders>
              <w:start w:val="single" w:sz="4" w:space="0" w:color="000000"/>
              <w:bottom w:val="single" w:sz="4" w:space="0" w:color="000000"/>
              <w:end w:val="single" w:sz="4" w:space="0" w:color="000000"/>
            </w:tcBorders>
          </w:tcPr>
          <w:p>
            <w:pPr>
              <w:pStyle w:val="Normal"/>
              <w:rPr/>
            </w:pPr>
            <w:r>
              <w:rPr/>
              <w:t>5–10 min</w:t>
            </w:r>
          </w:p>
        </w:tc>
      </w:tr>
      <w:tr>
        <w:trPr/>
        <w:tc>
          <w:tcPr>
            <w:tcW w:w="2210" w:type="dxa"/>
            <w:tcBorders>
              <w:start w:val="single" w:sz="4" w:space="0" w:color="000000"/>
              <w:bottom w:val="single" w:sz="4" w:space="0" w:color="000000"/>
            </w:tcBorders>
          </w:tcPr>
          <w:p>
            <w:pPr>
              <w:pStyle w:val="Normal"/>
              <w:rPr/>
            </w:pPr>
            <w:r>
              <w:rPr/>
            </w:r>
          </w:p>
        </w:tc>
        <w:tc>
          <w:tcPr>
            <w:tcW w:w="4211" w:type="dxa"/>
            <w:tcBorders>
              <w:start w:val="single" w:sz="4" w:space="0" w:color="000000"/>
              <w:bottom w:val="single" w:sz="4" w:space="0" w:color="000000"/>
            </w:tcBorders>
          </w:tcPr>
          <w:p>
            <w:pPr>
              <w:pStyle w:val="Normal"/>
              <w:rPr/>
            </w:pPr>
            <w:r>
              <w:rPr/>
              <w:t xml:space="preserve">• </w:t>
            </w:r>
            <w:r>
              <w:rPr/>
              <w:t>Lösen von leichten Belägen/Keratosen</w:t>
            </w:r>
          </w:p>
        </w:tc>
        <w:tc>
          <w:tcPr>
            <w:tcW w:w="3209" w:type="dxa"/>
            <w:tcBorders>
              <w:start w:val="single" w:sz="4" w:space="0" w:color="000000"/>
              <w:bottom w:val="single" w:sz="4" w:space="0" w:color="000000"/>
              <w:end w:val="single" w:sz="4" w:space="0" w:color="000000"/>
            </w:tcBorders>
          </w:tcPr>
          <w:p>
            <w:pPr>
              <w:pStyle w:val="Normal"/>
              <w:rPr/>
            </w:pPr>
            <w:r>
              <w:rPr/>
              <w:t>10–15 min</w:t>
            </w:r>
          </w:p>
        </w:tc>
      </w:tr>
      <w:tr>
        <w:trPr/>
        <w:tc>
          <w:tcPr>
            <w:tcW w:w="2210" w:type="dxa"/>
            <w:tcBorders>
              <w:start w:val="single" w:sz="4" w:space="0" w:color="000000"/>
              <w:bottom w:val="single" w:sz="4" w:space="0" w:color="000000"/>
            </w:tcBorders>
          </w:tcPr>
          <w:p>
            <w:pPr>
              <w:pStyle w:val="Normal"/>
              <w:rPr/>
            </w:pPr>
            <w:r>
              <w:rPr/>
            </w:r>
          </w:p>
        </w:tc>
        <w:tc>
          <w:tcPr>
            <w:tcW w:w="4211" w:type="dxa"/>
            <w:tcBorders>
              <w:start w:val="single" w:sz="4" w:space="0" w:color="000000"/>
              <w:bottom w:val="single" w:sz="4" w:space="0" w:color="000000"/>
            </w:tcBorders>
          </w:tcPr>
          <w:p>
            <w:pPr>
              <w:pStyle w:val="Normal"/>
              <w:rPr/>
            </w:pPr>
            <w:r>
              <w:rPr/>
              <w:t xml:space="preserve">• </w:t>
            </w:r>
            <w:r>
              <w:rPr/>
              <w:t>Auflösung von hartnäckigem Biofilm</w:t>
            </w:r>
          </w:p>
        </w:tc>
        <w:tc>
          <w:tcPr>
            <w:tcW w:w="3209" w:type="dxa"/>
            <w:tcBorders>
              <w:start w:val="single" w:sz="4" w:space="0" w:color="000000"/>
              <w:bottom w:val="single" w:sz="4" w:space="0" w:color="000000"/>
              <w:end w:val="single" w:sz="4" w:space="0" w:color="000000"/>
            </w:tcBorders>
          </w:tcPr>
          <w:p>
            <w:pPr>
              <w:pStyle w:val="Normal"/>
              <w:rPr/>
            </w:pPr>
            <w:r>
              <w:rPr/>
              <w:t>15–20 min</w:t>
            </w:r>
          </w:p>
        </w:tc>
      </w:tr>
      <w:tr>
        <w:trPr/>
        <w:tc>
          <w:tcPr>
            <w:tcW w:w="2210" w:type="dxa"/>
            <w:tcBorders>
              <w:start w:val="single" w:sz="4" w:space="0" w:color="000000"/>
              <w:bottom w:val="single" w:sz="4" w:space="0" w:color="000000"/>
            </w:tcBorders>
          </w:tcPr>
          <w:p>
            <w:pPr>
              <w:pStyle w:val="Normal"/>
              <w:rPr/>
            </w:pPr>
            <w:r>
              <w:rPr/>
            </w:r>
          </w:p>
        </w:tc>
        <w:tc>
          <w:tcPr>
            <w:tcW w:w="4211" w:type="dxa"/>
            <w:tcBorders>
              <w:start w:val="single" w:sz="4" w:space="0" w:color="000000"/>
              <w:bottom w:val="single" w:sz="4" w:space="0" w:color="000000"/>
            </w:tcBorders>
          </w:tcPr>
          <w:p>
            <w:pPr>
              <w:pStyle w:val="Normal"/>
              <w:rPr/>
            </w:pPr>
            <w:r>
              <w:rPr/>
              <w:t xml:space="preserve">• </w:t>
            </w:r>
            <w:r>
              <w:rPr/>
              <w:t>Reduktion von Entzündungszeichen</w:t>
            </w:r>
          </w:p>
        </w:tc>
        <w:tc>
          <w:tcPr>
            <w:tcW w:w="3209" w:type="dxa"/>
            <w:tcBorders>
              <w:start w:val="single" w:sz="4" w:space="0" w:color="000000"/>
              <w:bottom w:val="single" w:sz="4" w:space="0" w:color="000000"/>
              <w:end w:val="single" w:sz="4" w:space="0" w:color="000000"/>
            </w:tcBorders>
          </w:tcPr>
          <w:p>
            <w:pPr>
              <w:pStyle w:val="Normal"/>
              <w:rPr/>
            </w:pPr>
            <w:r>
              <w:rPr/>
              <w:t>15–20 min</w:t>
            </w:r>
          </w:p>
        </w:tc>
      </w:tr>
      <w:tr>
        <w:trPr/>
        <w:tc>
          <w:tcPr>
            <w:tcW w:w="2210" w:type="dxa"/>
            <w:tcBorders>
              <w:start w:val="single" w:sz="4" w:space="0" w:color="000000"/>
              <w:bottom w:val="single" w:sz="4" w:space="0" w:color="000000"/>
            </w:tcBorders>
          </w:tcPr>
          <w:p>
            <w:pPr>
              <w:pStyle w:val="Normal"/>
              <w:rPr/>
            </w:pPr>
            <w:r>
              <w:rPr/>
              <w:t>Kristalloide Lösungen</w:t>
              <w:br/>
              <w:t>(Ringer, NaCl)</w:t>
            </w:r>
          </w:p>
        </w:tc>
        <w:tc>
          <w:tcPr>
            <w:tcW w:w="4211" w:type="dxa"/>
            <w:tcBorders>
              <w:start w:val="single" w:sz="4" w:space="0" w:color="000000"/>
              <w:bottom w:val="single" w:sz="4" w:space="0" w:color="000000"/>
            </w:tcBorders>
          </w:tcPr>
          <w:p>
            <w:pPr>
              <w:pStyle w:val="Normal"/>
              <w:rPr/>
            </w:pPr>
            <w:r>
              <w:rPr/>
              <w:t xml:space="preserve">• </w:t>
            </w:r>
            <w:r>
              <w:rPr/>
              <w:t>Einfache Wundreinigung &amp; Befeuchtung</w:t>
            </w:r>
          </w:p>
        </w:tc>
        <w:tc>
          <w:tcPr>
            <w:tcW w:w="3209" w:type="dxa"/>
            <w:tcBorders>
              <w:start w:val="single" w:sz="4" w:space="0" w:color="000000"/>
              <w:bottom w:val="single" w:sz="4" w:space="0" w:color="000000"/>
              <w:end w:val="single" w:sz="4" w:space="0" w:color="000000"/>
            </w:tcBorders>
          </w:tcPr>
          <w:p>
            <w:pPr>
              <w:pStyle w:val="Normal"/>
              <w:rPr/>
            </w:pPr>
            <w:r>
              <w:rPr/>
              <w:t>5–10 min</w:t>
            </w:r>
          </w:p>
        </w:tc>
      </w:tr>
      <w:tr>
        <w:trPr/>
        <w:tc>
          <w:tcPr>
            <w:tcW w:w="2210" w:type="dxa"/>
            <w:tcBorders>
              <w:start w:val="single" w:sz="4" w:space="0" w:color="000000"/>
              <w:bottom w:val="single" w:sz="4" w:space="0" w:color="000000"/>
            </w:tcBorders>
          </w:tcPr>
          <w:p>
            <w:pPr>
              <w:pStyle w:val="Normal"/>
              <w:rPr/>
            </w:pPr>
            <w:r>
              <w:rPr/>
            </w:r>
          </w:p>
        </w:tc>
        <w:tc>
          <w:tcPr>
            <w:tcW w:w="4211" w:type="dxa"/>
            <w:tcBorders>
              <w:start w:val="single" w:sz="4" w:space="0" w:color="000000"/>
              <w:bottom w:val="single" w:sz="4" w:space="0" w:color="000000"/>
            </w:tcBorders>
          </w:tcPr>
          <w:p>
            <w:pPr>
              <w:pStyle w:val="Normal"/>
              <w:rPr/>
            </w:pPr>
            <w:r>
              <w:rPr/>
              <w:t xml:space="preserve">• </w:t>
            </w:r>
            <w:r>
              <w:rPr/>
              <w:t>Rehydrierung von avitalem Gewebe</w:t>
              <w:br/>
              <w:t>• Aufweichen von Fibrinbelägen</w:t>
            </w:r>
          </w:p>
        </w:tc>
        <w:tc>
          <w:tcPr>
            <w:tcW w:w="3209" w:type="dxa"/>
            <w:tcBorders>
              <w:start w:val="single" w:sz="4" w:space="0" w:color="000000"/>
              <w:bottom w:val="single" w:sz="4" w:space="0" w:color="000000"/>
              <w:end w:val="single" w:sz="4" w:space="0" w:color="000000"/>
            </w:tcBorders>
          </w:tcPr>
          <w:p>
            <w:pPr>
              <w:pStyle w:val="Normal"/>
              <w:rPr/>
            </w:pPr>
            <w:r>
              <w:rPr/>
              <w:t>15–20 min / 20 min</w:t>
            </w:r>
          </w:p>
        </w:tc>
      </w:tr>
    </w:tbl>
    <w:p>
      <w:pPr>
        <w:pStyle w:val="Normal"/>
        <w:rPr>
          <w:b/>
          <w:color w:val="666666"/>
          <w:sz w:val="23"/>
        </w:rPr>
      </w:pPr>
      <w:r>
        <w:rPr>
          <w:b/>
          <w:color w:val="666666"/>
          <w:sz w:val="23"/>
        </w:rPr>
      </w:r>
    </w:p>
    <w:p>
      <w:pPr>
        <w:pStyle w:val="Normal"/>
        <w:keepNext w:val="true"/>
        <w:spacing w:before="280" w:after="120"/>
        <w:rPr>
          <w:b/>
          <w:color w:val="003366"/>
          <w:sz w:val="26"/>
          <w:szCs w:val="26"/>
          <w:u w:val="single"/>
        </w:rPr>
      </w:pPr>
      <w:r>
        <w:rPr>
          <w:b/>
          <w:color w:val="003366"/>
          <w:sz w:val="26"/>
          <w:szCs w:val="26"/>
          <w:u w:val="single"/>
        </w:rPr>
        <w:t>Vorgehensweise</w:t>
      </w:r>
    </w:p>
    <w:p>
      <w:pPr>
        <w:pStyle w:val="Normal"/>
        <w:spacing w:before="0" w:after="80"/>
        <w:ind w:start="360"/>
        <w:rPr/>
      </w:pPr>
      <w:r>
        <w:rPr>
          <w:b/>
        </w:rPr>
        <w:t xml:space="preserve">1. </w:t>
      </w:r>
      <w:r>
        <w:rPr/>
        <w:t>Vorbereitung: Das Produkt für die Nass-Phase im Wasserbad oder Wärmeschrank auf ca. 37 °C (Körpertemperatur) erwärmen. Dies verhindert Gefäßspasmen (Vasokonstriktion) und eine Auskühlung der Wunde, was den Heilungsprozess stoppen würde.</w:t>
      </w:r>
    </w:p>
    <w:p>
      <w:pPr>
        <w:pStyle w:val="Normal"/>
        <w:spacing w:before="0" w:after="80"/>
        <w:ind w:start="360"/>
        <w:rPr/>
      </w:pPr>
      <w:r>
        <w:rPr>
          <w:b/>
        </w:rPr>
        <w:t xml:space="preserve">2. </w:t>
      </w:r>
      <w:r>
        <w:rPr/>
        <w:t>Verbandentfernung: Altes Wundkissen vorsichtig entfernen (ggf. mit Ringer/NaCl anfeuchten, falls es verklebt ist).</w:t>
      </w:r>
    </w:p>
    <w:p>
      <w:pPr>
        <w:pStyle w:val="Normal"/>
        <w:spacing w:before="0" w:after="80"/>
        <w:ind w:start="360"/>
        <w:rPr/>
      </w:pPr>
      <w:r>
        <w:rPr>
          <w:b/>
        </w:rPr>
        <w:t xml:space="preserve">3. </w:t>
      </w:r>
      <w:r>
        <w:rPr/>
        <w:t>Inspektion: Begutachtung und Dokumentation der Wunde sowie der Wundumgebung (Mazerationen, Rötungen, Ödeme).</w:t>
      </w:r>
    </w:p>
    <w:p>
      <w:pPr>
        <w:pStyle w:val="Normal"/>
        <w:spacing w:before="0" w:after="80"/>
        <w:ind w:start="360"/>
        <w:rPr/>
      </w:pPr>
      <w:r>
        <w:rPr>
          <w:b/>
        </w:rPr>
        <w:t xml:space="preserve">4. </w:t>
      </w:r>
      <w:r>
        <w:rPr/>
        <w:t>Hygienemaßnahmen: Ablegen der unsterilen Handschuhe, hygienische Händdesinfektion, Anlegen neuer (ggf. steriler) Handschuhe.</w:t>
      </w:r>
    </w:p>
    <w:p>
      <w:pPr>
        <w:pStyle w:val="Normal"/>
        <w:spacing w:before="0" w:after="80"/>
        <w:ind w:start="360"/>
        <w:rPr/>
      </w:pPr>
      <w:r>
        <w:rPr>
          <w:b/>
        </w:rPr>
        <w:t xml:space="preserve">5. </w:t>
      </w:r>
      <w:r>
        <w:rPr/>
        <w:t>Die Nass-Phase: Sterile Kompressen mit der gewählten Lösung reichlich tränken und passgenau auf den Wundgrund auflegen (oder Wundhöhlen locker damit tamponieren). Bei längeren Einwirkzeiten die Kompressen bei Bedarf nachbefeuchten, um ein Antrocknen zu verhindern.</w:t>
      </w:r>
    </w:p>
    <w:p>
      <w:pPr>
        <w:pStyle w:val="Normal"/>
        <w:spacing w:before="0" w:after="80"/>
        <w:ind w:start="360"/>
        <w:rPr/>
      </w:pPr>
      <w:r>
        <w:rPr>
          <w:b/>
        </w:rPr>
        <w:t xml:space="preserve">6. </w:t>
      </w:r>
      <w:r>
        <w:rPr/>
        <w:t>Die Trocken-Phase: Nach Ablauf der Einwirkzeit die feuchten Kompressen abnehmen. Die Wundumgebung vorsichtig mit einer trockenen, sterilen Kompresse abtupfen, um Feuchtigkeitsschäden (Mazerationen) zu vermeiden. Der Wundgrund selbst wird nicht trockengerieben.</w:t>
      </w:r>
    </w:p>
    <w:p>
      <w:pPr>
        <w:pStyle w:val="Normal"/>
        <w:spacing w:before="0" w:after="80"/>
        <w:ind w:start="360"/>
        <w:rPr/>
      </w:pPr>
      <w:r>
        <w:rPr>
          <w:b/>
          <w:bCs w:val="false"/>
          <w:sz w:val="21"/>
          <w:szCs w:val="21"/>
          <w:u w:val="none"/>
        </w:rPr>
        <w:t xml:space="preserve">7. </w:t>
      </w:r>
      <w:r>
        <w:rPr>
          <w:b w:val="false"/>
          <w:bCs w:val="false"/>
          <w:sz w:val="21"/>
          <w:szCs w:val="21"/>
          <w:u w:val="none"/>
        </w:rPr>
        <w:t>Wundverschluss: Applikation der phasengerechten Wundauflage (z. B. hydroaktive Wundkissen wie HydroClean® bei belegten Wunden) und anschließender Fixierung.</w:t>
      </w:r>
    </w:p>
    <w:p>
      <w:pPr>
        <w:pStyle w:val="Normal"/>
        <w:jc w:val="start"/>
        <w:rPr>
          <w:b w:val="false"/>
          <w:bCs w:val="false"/>
          <w:sz w:val="21"/>
          <w:szCs w:val="21"/>
          <w:u w:val="none"/>
        </w:rPr>
      </w:pPr>
      <w:r>
        <w:rPr>
          <w:b w:val="false"/>
          <w:bCs w:val="false"/>
          <w:sz w:val="21"/>
          <w:szCs w:val="21"/>
          <w:u w:val="none"/>
        </w:rPr>
      </w:r>
    </w:p>
    <w:p>
      <w:pPr>
        <w:pStyle w:val="Normal"/>
        <w:jc w:val="start"/>
        <w:rPr>
          <w:b w:val="false"/>
          <w:bCs w:val="false"/>
          <w:sz w:val="21"/>
          <w:szCs w:val="21"/>
          <w:u w:val="none"/>
        </w:rPr>
      </w:pPr>
      <w:r>
        <w:rPr>
          <w:b w:val="false"/>
          <w:bCs w:val="false"/>
          <w:color w:val="000000"/>
          <w:sz w:val="21"/>
          <w:szCs w:val="21"/>
        </w:rPr>
      </w:r>
    </w:p>
    <w:p>
      <w:pPr>
        <w:pStyle w:val="Tabelleninhaltuser"/>
        <w:spacing w:before="280" w:after="120"/>
        <w:rPr>
          <w:b/>
          <w:bCs/>
          <w:color w:val="003366"/>
          <w:sz w:val="21"/>
          <w:szCs w:val="21"/>
          <w:u w:val="single"/>
        </w:rPr>
      </w:pPr>
      <w:r>
        <w:rPr>
          <w:b/>
          <w:bCs/>
          <w:color w:val="003366"/>
          <w:sz w:val="21"/>
          <w:szCs w:val="21"/>
          <w:u w:val="single"/>
        </w:rPr>
        <w:t>Grundsätzliches</w:t>
      </w:r>
    </w:p>
    <w:p>
      <w:pPr>
        <w:pStyle w:val="ListBullet"/>
        <w:numPr>
          <w:ilvl w:val="0"/>
          <w:numId w:val="1"/>
        </w:numPr>
        <w:spacing w:before="0" w:after="80"/>
        <w:contextualSpacing/>
        <w:rPr/>
      </w:pPr>
      <w:r>
        <w:rPr>
          <w:b/>
        </w:rPr>
        <w:t xml:space="preserve">Aseptisches Arbeiten: </w:t>
      </w:r>
      <w:r>
        <w:rPr/>
        <w:t>Die Nass-Trocken-Phase muss unter streng keimarmen (aseptischen) Bedingungen durchgeführt werden.</w:t>
      </w:r>
    </w:p>
    <w:p>
      <w:pPr>
        <w:pStyle w:val="ListBullet"/>
        <w:numPr>
          <w:ilvl w:val="0"/>
          <w:numId w:val="1"/>
        </w:numPr>
        <w:spacing w:before="0" w:after="80"/>
        <w:contextualSpacing/>
        <w:rPr/>
      </w:pPr>
      <w:r>
        <w:rPr>
          <w:b/>
        </w:rPr>
        <w:t xml:space="preserve">Patienten-Compliance: </w:t>
      </w:r>
      <w:r>
        <w:rPr/>
        <w:t>Eine umfassende Aufklärung des Patienten ist essenziell (Einverständnis für die Wartezeit der Einwirkphase einholen).</w:t>
      </w:r>
    </w:p>
    <w:p>
      <w:pPr>
        <w:pStyle w:val="ListBullet"/>
        <w:numPr>
          <w:ilvl w:val="0"/>
          <w:numId w:val="1"/>
        </w:numPr>
        <w:spacing w:before="0" w:after="80"/>
        <w:contextualSpacing/>
        <w:rPr/>
      </w:pPr>
      <w:r>
        <w:rPr>
          <w:b/>
        </w:rPr>
        <w:t xml:space="preserve">Hautschutz: </w:t>
      </w:r>
      <w:r>
        <w:rPr/>
        <w:t>Bei fragiler oder mazerationsgefährdeter Wundumgebung ist vor der Nass-Phase zwingend ein Hautschutz (z. B. Cavilon™-Hautschutzfilm oder eine semipermeable Folie) aufzutragen.</w:t>
      </w:r>
    </w:p>
    <w:p>
      <w:pPr>
        <w:pStyle w:val="ListBullet"/>
        <w:numPr>
          <w:ilvl w:val="0"/>
          <w:numId w:val="1"/>
        </w:numPr>
        <w:spacing w:before="0" w:after="80"/>
        <w:contextualSpacing/>
        <w:rPr/>
      </w:pPr>
      <w:r>
        <w:rPr>
          <w:b/>
          <w:bCs w:val="false"/>
          <w:i/>
          <w:color w:val="000000"/>
          <w:sz w:val="21"/>
          <w:szCs w:val="21"/>
          <w:u w:val="none"/>
        </w:rPr>
        <w:t xml:space="preserve">Phasengerechte Therapie: </w:t>
      </w:r>
      <w:r>
        <w:rPr>
          <w:b w:val="false"/>
          <w:bCs w:val="false"/>
          <w:i/>
          <w:color w:val="000000"/>
          <w:sz w:val="21"/>
          <w:szCs w:val="21"/>
          <w:u w:val="none"/>
        </w:rPr>
        <w:t>Das Verbandsintervall und die Sekundärauflagen müssen exakt auf die Wundphase abgestimmt sein (z. B. Kombination der Nass-Trocken-Phase bei Nekrosen mit einem feuchtigkeitspendenden/-regulierenden Wundpflegeprodukt).</w:t>
      </w:r>
    </w:p>
    <w:p>
      <w:pPr>
        <w:pStyle w:val="Normal"/>
        <w:numPr>
          <w:ilvl w:val="0"/>
          <w:numId w:val="0"/>
        </w:numPr>
        <w:ind w:hanging="0" w:start="720"/>
        <w:jc w:val="start"/>
        <w:rPr>
          <w:b w:val="false"/>
          <w:bCs w:val="false"/>
          <w:i/>
          <w:color w:val="000000"/>
          <w:sz w:val="21"/>
          <w:szCs w:val="21"/>
          <w:u w:val="none"/>
        </w:rPr>
      </w:pPr>
      <w:r>
        <w:rPr>
          <w:b w:val="false"/>
          <w:bCs w:val="false"/>
          <w:i/>
          <w:color w:val="000000"/>
          <w:sz w:val="21"/>
          <w:szCs w:val="21"/>
          <w:u w:val="none"/>
        </w:rPr>
      </w:r>
    </w:p>
    <w:p>
      <w:pPr>
        <w:pStyle w:val="Normal"/>
        <w:numPr>
          <w:ilvl w:val="0"/>
          <w:numId w:val="0"/>
        </w:numPr>
        <w:ind w:hanging="0" w:start="720"/>
        <w:jc w:val="start"/>
        <w:rPr>
          <w:rStyle w:val="Absatz-Standardschriftart"/>
          <w:b w:val="false"/>
          <w:bCs w:val="false"/>
          <w:i/>
          <w:color w:val="000000"/>
          <w:sz w:val="16"/>
          <w:szCs w:val="16"/>
          <w:u w:val="none"/>
        </w:rPr>
      </w:pPr>
      <w:r>
        <w:rPr>
          <w:b w:val="false"/>
          <w:bCs w:val="false"/>
          <w:i/>
          <w:color w:val="000000"/>
          <w:sz w:val="16"/>
          <w:szCs w:val="16"/>
          <w:u w:val="none"/>
        </w:rPr>
      </w:r>
    </w:p>
    <w:tbl>
      <w:tblPr>
        <w:tblW w:w="963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11"/>
        <w:gridCol w:w="3211"/>
        <w:gridCol w:w="3211"/>
      </w:tblGrid>
      <w:tr>
        <w:trPr/>
        <w:tc>
          <w:tcPr>
            <w:tcW w:w="3211" w:type="dxa"/>
            <w:tcBorders/>
            <w:shd w:fill="FAFAFA" w:val="clear"/>
          </w:tcPr>
          <w:p>
            <w:pPr>
              <w:pStyle w:val="Normal"/>
              <w:widowControl/>
              <w:bidi w:val="0"/>
              <w:spacing w:lineRule="auto" w:line="276" w:before="0" w:after="200"/>
              <w:jc w:val="start"/>
              <w:rPr/>
            </w:pPr>
            <w:r>
              <w:rPr>
                <w:b/>
                <w:sz w:val="17"/>
              </w:rPr>
              <w:t>Erstellt / bearbeitet</w:t>
            </w:r>
          </w:p>
        </w:tc>
        <w:tc>
          <w:tcPr>
            <w:tcW w:w="3211" w:type="dxa"/>
            <w:tcBorders/>
            <w:shd w:fill="FAFAFA" w:val="clear"/>
          </w:tcPr>
          <w:p>
            <w:pPr>
              <w:pStyle w:val="Normal"/>
              <w:widowControl/>
              <w:bidi w:val="0"/>
              <w:spacing w:lineRule="auto" w:line="276" w:before="0" w:after="200"/>
              <w:jc w:val="start"/>
              <w:rPr/>
            </w:pPr>
            <w:r>
              <w:rPr>
                <w:b/>
                <w:sz w:val="17"/>
              </w:rPr>
              <w:t>Geprüft</w:t>
            </w:r>
          </w:p>
        </w:tc>
        <w:tc>
          <w:tcPr>
            <w:tcW w:w="3211" w:type="dxa"/>
            <w:tcBorders/>
            <w:shd w:fill="FAFAFA" w:val="clear"/>
          </w:tcPr>
          <w:p>
            <w:pPr>
              <w:pStyle w:val="Normal"/>
              <w:widowControl/>
              <w:bidi w:val="0"/>
              <w:spacing w:lineRule="auto" w:line="276" w:before="0" w:after="200"/>
              <w:jc w:val="start"/>
              <w:rPr/>
            </w:pPr>
            <w:r>
              <w:rPr>
                <w:b/>
                <w:sz w:val="17"/>
              </w:rPr>
              <w:t>Freigegeben</w:t>
            </w:r>
          </w:p>
        </w:tc>
      </w:tr>
      <w:tr>
        <w:trPr/>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c>
          <w:tcPr>
            <w:tcW w:w="3211" w:type="dxa"/>
            <w:tcBorders/>
            <w:shd w:fill="FAFAFA" w:val="clear"/>
          </w:tcPr>
          <w:p>
            <w:pPr>
              <w:pStyle w:val="Normal"/>
              <w:widowControl/>
              <w:bidi w:val="0"/>
              <w:spacing w:lineRule="auto" w:line="276" w:before="0" w:after="200"/>
              <w:jc w:val="start"/>
              <w:rPr/>
            </w:pPr>
            <w:r>
              <w:rPr>
                <w:sz w:val="16"/>
              </w:rPr>
              <w:br/>
              <w:t>________________________</w:t>
              <w:br/>
              <w:t>Datum / Unterschrift</w:t>
            </w:r>
          </w:p>
        </w:tc>
      </w:tr>
    </w:tbl>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304" w:right="1304" w:gutter="0" w:header="720" w:top="1247"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Aptos">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505050"/>
        <w:sz w:val="16"/>
      </w:rPr>
      <w:t xml:space="preserve">Copyright © Wundpfleger Peter  |  QM-Dokument  |  Version: ____  |  Stand: ____  |  Seite </w:t>
    </w: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5" w:color="C9CDCD"/>
      </w:pBdr>
      <w:jc w:val="start"/>
      <w:rPr/>
    </w:pPr>
    <w:r>
      <w:rPr>
        <w:b/>
        <w:color w:val="000000"/>
        <w:sz w:val="22"/>
      </w:rPr>
      <w:t>WUNDPFLEGER PETER</w:t>
    </w:r>
    <w:r>
      <w:rPr>
        <w:sz w:val="18"/>
      </w:rPr>
      <w:t xml:space="preserve">   |   QM-Dokument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40" w:before="0" w:after="0"/>
      <w:jc w:val="start"/>
    </w:pPr>
    <w:rPr>
      <w:rFonts w:ascii="Aptos" w:hAnsi="Aptos" w:eastAsia="ＭＳ 明朝" w:cs=""/>
      <w:color w:val="000000"/>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000000"/>
      <w:sz w:val="30"/>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000000"/>
      <w:sz w:val="24"/>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000000"/>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Absatz-Standardschriftart">
    <w:name w:val="Absatz-Standardschriftart"/>
    <w:qFormat/>
    <w:rPr/>
  </w:style>
  <w:style w:type="character" w:styleId="WWCharLFO1LVL1">
    <w:name w:val="WW_CharLFO1LVL1"/>
    <w:qFormat/>
    <w:rPr>
      <w:rFonts w:ascii="OpenSymbol" w:hAnsi="OpenSymbol" w:eastAsia="OpenSymbol" w:cs="OpenSymbol"/>
    </w:rPr>
  </w:style>
  <w:style w:type="character" w:styleId="WWCharLFO1LVL2">
    <w:name w:val="WW_CharLFO1LVL2"/>
    <w:qFormat/>
    <w:rPr>
      <w:rFonts w:ascii="OpenSymbol" w:hAnsi="OpenSymbol" w:eastAsia="OpenSymbol" w:cs="OpenSymbol"/>
    </w:rPr>
  </w:style>
  <w:style w:type="character" w:styleId="WWCharLFO1LVL3">
    <w:name w:val="WW_CharLFO1LVL3"/>
    <w:qFormat/>
    <w:rPr>
      <w:rFonts w:ascii="OpenSymbol" w:hAnsi="OpenSymbol" w:eastAsia="OpenSymbol" w:cs="OpenSymbol"/>
    </w:rPr>
  </w:style>
  <w:style w:type="character" w:styleId="WWCharLFO1LVL4">
    <w:name w:val="WW_CharLFO1LVL4"/>
    <w:qFormat/>
    <w:rPr>
      <w:rFonts w:ascii="OpenSymbol" w:hAnsi="OpenSymbol" w:eastAsia="OpenSymbol" w:cs="OpenSymbol"/>
    </w:rPr>
  </w:style>
  <w:style w:type="character" w:styleId="WWCharLFO1LVL5">
    <w:name w:val="WW_CharLFO1LVL5"/>
    <w:qFormat/>
    <w:rPr>
      <w:rFonts w:ascii="OpenSymbol" w:hAnsi="OpenSymbol" w:eastAsia="OpenSymbol" w:cs="OpenSymbol"/>
    </w:rPr>
  </w:style>
  <w:style w:type="character" w:styleId="WWCharLFO1LVL6">
    <w:name w:val="WW_CharLFO1LVL6"/>
    <w:qFormat/>
    <w:rPr>
      <w:rFonts w:ascii="OpenSymbol" w:hAnsi="OpenSymbol" w:eastAsia="OpenSymbol" w:cs="OpenSymbol"/>
    </w:rPr>
  </w:style>
  <w:style w:type="character" w:styleId="WWCharLFO1LVL7">
    <w:name w:val="WW_CharLFO1LVL7"/>
    <w:qFormat/>
    <w:rPr>
      <w:rFonts w:ascii="OpenSymbol" w:hAnsi="OpenSymbol" w:eastAsia="OpenSymbol" w:cs="OpenSymbol"/>
    </w:rPr>
  </w:style>
  <w:style w:type="character" w:styleId="WWCharLFO1LVL8">
    <w:name w:val="WW_CharLFO1LVL8"/>
    <w:qFormat/>
    <w:rPr>
      <w:rFonts w:ascii="OpenSymbol" w:hAnsi="OpenSymbol" w:eastAsia="OpenSymbol" w:cs="OpenSymbol"/>
    </w:rPr>
  </w:style>
  <w:style w:type="character" w:styleId="WWCharLFO1LVL9">
    <w:name w:val="WW_CharLFO1LVL9"/>
    <w:qFormat/>
    <w:rPr>
      <w:rFonts w:ascii="OpenSymbol" w:hAnsi="OpenSymbol" w:eastAsia="OpenSymbol" w:cs="OpenSymbol"/>
    </w:rPr>
  </w:style>
  <w:style w:type="character" w:styleId="Aufzhlungszeichenuser">
    <w:name w:val="Aufzählungszeichen (user)"/>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Arial"/>
    </w:rPr>
  </w:style>
  <w:style w:type="paragraph" w:styleId="berschriftuser">
    <w:name w:val="Überschrift (user)"/>
    <w:basedOn w:val="Normal"/>
    <w:next w:val="BodyText"/>
    <w:qFormat/>
    <w:pPr>
      <w:keepNext w:val="true"/>
      <w:spacing w:before="240" w:after="120"/>
    </w:pPr>
    <w:rPr>
      <w:rFonts w:ascii="Liberation Sans" w:hAnsi="Liberation Sans" w:eastAsia="Microsoft YaHei" w:cs="Arial"/>
      <w:sz w:val="28"/>
      <w:szCs w:val="28"/>
    </w:rPr>
  </w:style>
  <w:style w:type="paragraph" w:styleId="Verzeichnisuser">
    <w:name w:val="Verzeichnis (user)"/>
    <w:basedOn w:val="Normal"/>
    <w:qFormat/>
    <w:pPr>
      <w:suppressLineNumbers/>
    </w:pPr>
    <w:rPr>
      <w:rFonts w:cs="Arial"/>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b/>
      <w:color w:val="000000"/>
      <w:spacing w:val="5"/>
      <w:kern w:val="2"/>
      <w:sz w:val="44"/>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erschriftuser"/>
    <w:pPr/>
    <w:rPr/>
  </w:style>
  <w:style w:type="paragraph" w:styleId="TOCHeading">
    <w:name w:val="TOC Heading"/>
    <w:basedOn w:val="Heading1"/>
    <w:next w:val="Normal"/>
    <w:uiPriority w:val="39"/>
    <w:semiHidden/>
    <w:unhideWhenUsed/>
    <w:qFormat/>
    <w:rsid w:val="00fc693f"/>
    <w:pPr>
      <w:outlineLvl w:val="9"/>
    </w:pPr>
    <w:rPr/>
  </w:style>
  <w:style w:type="paragraph" w:styleId="Tabelleninhaltuser">
    <w:name w:val="Tabelleninhalt (user)"/>
    <w:basedOn w:val="Normal"/>
    <w:qFormat/>
    <w:pPr>
      <w:widowControl w:val="false"/>
      <w:suppressLineNumbers/>
      <w:spacing w:lineRule="auto" w:line="240"/>
    </w:pPr>
    <w:rPr/>
  </w:style>
  <w:style w:type="paragraph" w:styleId="Tabellenberschriftuser">
    <w:name w:val="Tabellenüberschrift (user)"/>
    <w:basedOn w:val="Tabelleninhaltuser"/>
    <w:qFormat/>
    <w:pPr>
      <w:suppressLineNumbers/>
      <w:jc w:val="center"/>
    </w:pPr>
    <w:rPr>
      <w:b/>
      <w:bCs/>
    </w:rPr>
  </w:style>
  <w:style w:type="numbering" w:styleId="KeineListeuser" w:default="1">
    <w:name w:val="Keine Liste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Application>LibreOffice/26.2.6.3$Windows_X86_64 LibreOffice_project/8221e31b3ac356a1623c672912a3d2b492f7e3d1</Application>
  <AppVersion>15.0000</AppVersion>
  <Pages>2</Pages>
  <Words>526</Words>
  <Characters>3938</Characters>
  <CharactersWithSpaces>4398</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Peter Churs</cp:lastModifiedBy>
  <dcterms:modified xsi:type="dcterms:W3CDTF">2026-10-03T17:51:08Z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